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附件</w:t>
      </w:r>
      <w:r>
        <w:rPr>
          <w:rFonts w:ascii="仿宋_GB2312" w:hAnsi="仿宋_GB2312" w:eastAsia="仿宋_GB2312" w:cs="仿宋_GB2312"/>
          <w:sz w:val="28"/>
          <w:szCs w:val="28"/>
        </w:rPr>
        <w:t>2</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08"/>
        <w:gridCol w:w="2053"/>
        <w:gridCol w:w="107"/>
        <w:gridCol w:w="2329"/>
        <w:gridCol w:w="18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8522" w:type="dxa"/>
            <w:gridSpan w:val="5"/>
            <w:tcBorders>
              <w:top w:val="nil"/>
              <w:left w:val="nil"/>
              <w:right w:val="nil"/>
            </w:tcBorders>
          </w:tcPr>
          <w:p>
            <w:pPr>
              <w:spacing w:line="480" w:lineRule="auto"/>
              <w:jc w:val="center"/>
            </w:pPr>
            <w:r>
              <w:rPr>
                <w:rFonts w:hint="eastAsia" w:ascii="方正小标宋简体" w:hAnsi="方正小标宋简体" w:eastAsia="方正小标宋简体" w:cs="方正小标宋简体"/>
                <w:sz w:val="28"/>
                <w:szCs w:val="28"/>
              </w:rPr>
              <w:t>政府采购进口产品申请表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8522" w:type="dxa"/>
            <w:gridSpan w:val="5"/>
            <w:vAlign w:val="center"/>
          </w:tcPr>
          <w:p>
            <w:pPr>
              <w:spacing w:line="480" w:lineRule="auto"/>
              <w:rPr>
                <w:rFonts w:ascii="仿宋_GB2312" w:hAnsi="仿宋_GB2312" w:eastAsia="仿宋_GB2312" w:cs="仿宋_GB2312"/>
                <w:sz w:val="24"/>
              </w:rPr>
            </w:pPr>
            <w:r>
              <w:rPr>
                <w:rFonts w:hint="eastAsia" w:ascii="仿宋_GB2312" w:hAnsi="仿宋_GB2312" w:eastAsia="仿宋_GB2312" w:cs="仿宋_GB2312"/>
                <w:b/>
                <w:bCs/>
                <w:sz w:val="24"/>
              </w:rPr>
              <w:t>一、基本情况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2208" w:type="dxa"/>
            <w:vAlign w:val="center"/>
          </w:tcPr>
          <w:p>
            <w:pPr>
              <w:spacing w:line="360" w:lineRule="auto"/>
              <w:rPr>
                <w:rFonts w:ascii="仿宋_GB2312" w:hAnsi="仿宋_GB2312" w:eastAsia="仿宋_GB2312" w:cs="仿宋_GB2312"/>
                <w:sz w:val="24"/>
              </w:rPr>
            </w:pPr>
            <w:r>
              <w:rPr>
                <w:rFonts w:hint="eastAsia" w:ascii="仿宋_GB2312" w:hAnsi="仿宋_GB2312" w:eastAsia="仿宋_GB2312" w:cs="仿宋_GB2312"/>
                <w:sz w:val="24"/>
              </w:rPr>
              <w:t>申请单位</w:t>
            </w:r>
          </w:p>
        </w:tc>
        <w:tc>
          <w:tcPr>
            <w:tcW w:w="6314" w:type="dxa"/>
            <w:gridSpan w:val="4"/>
            <w:vAlign w:val="center"/>
          </w:tcPr>
          <w:p>
            <w:pPr>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广东省结核病控制中心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208" w:type="dxa"/>
            <w:vAlign w:val="center"/>
          </w:tcPr>
          <w:p>
            <w:pPr>
              <w:spacing w:line="360" w:lineRule="auto"/>
              <w:rPr>
                <w:rFonts w:ascii="仿宋_GB2312" w:hAnsi="仿宋_GB2312" w:eastAsia="仿宋_GB2312" w:cs="仿宋_GB2312"/>
                <w:sz w:val="24"/>
              </w:rPr>
            </w:pPr>
            <w:r>
              <w:rPr>
                <w:rFonts w:hint="eastAsia" w:ascii="仿宋_GB2312" w:hAnsi="仿宋_GB2312" w:eastAsia="仿宋_GB2312" w:cs="仿宋_GB2312"/>
                <w:sz w:val="24"/>
              </w:rPr>
              <w:t>所属采购项目名称</w:t>
            </w:r>
          </w:p>
        </w:tc>
        <w:tc>
          <w:tcPr>
            <w:tcW w:w="2160" w:type="dxa"/>
            <w:gridSpan w:val="2"/>
            <w:vAlign w:val="center"/>
          </w:tcPr>
          <w:p>
            <w:pPr>
              <w:rPr>
                <w:rFonts w:ascii="仿宋_GB2312" w:hAnsi="仿宋_GB2312" w:eastAsia="仿宋_GB2312" w:cs="仿宋_GB2312"/>
                <w:sz w:val="24"/>
              </w:rPr>
            </w:pPr>
            <w:r>
              <w:rPr>
                <w:rFonts w:hint="eastAsia" w:ascii="仿宋_GB2312" w:hAnsi="仿宋_GB2312" w:eastAsia="仿宋_GB2312" w:cs="仿宋_GB2312"/>
                <w:sz w:val="24"/>
              </w:rPr>
              <w:t>全自动医用PCR分析系统</w:t>
            </w:r>
          </w:p>
        </w:tc>
        <w:tc>
          <w:tcPr>
            <w:tcW w:w="2329" w:type="dxa"/>
            <w:vAlign w:val="center"/>
          </w:tcPr>
          <w:p>
            <w:pPr>
              <w:rPr>
                <w:rFonts w:ascii="仿宋_GB2312" w:hAnsi="仿宋_GB2312" w:eastAsia="仿宋_GB2312" w:cs="仿宋_GB2312"/>
                <w:sz w:val="24"/>
              </w:rPr>
            </w:pPr>
            <w:r>
              <w:rPr>
                <w:rFonts w:hint="eastAsia" w:ascii="仿宋_GB2312" w:hAnsi="仿宋_GB2312" w:eastAsia="仿宋_GB2312" w:cs="仿宋_GB2312"/>
                <w:sz w:val="24"/>
              </w:rPr>
              <w:t>所属采购项目预算金额（单位：万元）</w:t>
            </w:r>
          </w:p>
        </w:tc>
        <w:tc>
          <w:tcPr>
            <w:tcW w:w="1825" w:type="dxa"/>
            <w:vAlign w:val="center"/>
          </w:tcPr>
          <w:p>
            <w:pPr>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4368" w:type="dxa"/>
            <w:gridSpan w:val="3"/>
            <w:vAlign w:val="center"/>
          </w:tcPr>
          <w:p>
            <w:pPr>
              <w:jc w:val="left"/>
              <w:rPr>
                <w:rFonts w:ascii="仿宋_GB2312" w:hAnsi="仿宋_GB2312" w:eastAsia="仿宋_GB2312" w:cs="仿宋_GB2312"/>
                <w:sz w:val="24"/>
              </w:rPr>
            </w:pPr>
            <w:r>
              <w:rPr>
                <w:rFonts w:hint="eastAsia" w:ascii="仿宋_GB2312" w:hAnsi="仿宋_GB2312" w:eastAsia="仿宋_GB2312" w:cs="仿宋_GB2312"/>
                <w:sz w:val="24"/>
              </w:rPr>
              <w:t>进口产品名称</w:t>
            </w:r>
          </w:p>
        </w:tc>
        <w:tc>
          <w:tcPr>
            <w:tcW w:w="4154" w:type="dxa"/>
            <w:gridSpan w:val="2"/>
            <w:vAlign w:val="center"/>
          </w:tcPr>
          <w:p>
            <w:pPr>
              <w:jc w:val="left"/>
              <w:rPr>
                <w:rFonts w:ascii="仿宋_GB2312" w:hAnsi="仿宋_GB2312" w:eastAsia="仿宋_GB2312" w:cs="仿宋_GB2312"/>
                <w:sz w:val="24"/>
              </w:rPr>
            </w:pPr>
            <w:r>
              <w:rPr>
                <w:rFonts w:hint="eastAsia" w:ascii="仿宋_GB2312" w:hAnsi="仿宋_GB2312" w:eastAsia="仿宋_GB2312" w:cs="仿宋_GB2312"/>
                <w:sz w:val="24"/>
              </w:rPr>
              <w:t>进口产品预算金额（单位：万元）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4368" w:type="dxa"/>
            <w:gridSpan w:val="3"/>
            <w:vAlign w:val="center"/>
          </w:tcPr>
          <w:p>
            <w:pPr>
              <w:rPr>
                <w:rFonts w:ascii="仿宋_GB2312" w:hAnsi="仿宋_GB2312" w:eastAsia="仿宋_GB2312" w:cs="仿宋_GB2312"/>
                <w:sz w:val="24"/>
              </w:rPr>
            </w:pPr>
            <w:r>
              <w:rPr>
                <w:rFonts w:hint="eastAsia" w:ascii="仿宋_GB2312" w:hAnsi="仿宋_GB2312" w:eastAsia="仿宋_GB2312" w:cs="仿宋_GB2312"/>
                <w:sz w:val="24"/>
              </w:rPr>
              <w:t>全自动医用PCR分析系统</w:t>
            </w:r>
          </w:p>
        </w:tc>
        <w:tc>
          <w:tcPr>
            <w:tcW w:w="4154" w:type="dxa"/>
            <w:gridSpan w:val="2"/>
            <w:vAlign w:val="center"/>
          </w:tcPr>
          <w:p>
            <w:pPr>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8522" w:type="dxa"/>
            <w:gridSpan w:val="5"/>
            <w:vAlign w:val="center"/>
          </w:tcPr>
          <w:p>
            <w:pPr>
              <w:rPr>
                <w:rFonts w:ascii="仿宋_GB2312" w:hAnsi="仿宋_GB2312" w:eastAsia="仿宋_GB2312" w:cs="仿宋_GB2312"/>
                <w:sz w:val="24"/>
              </w:rPr>
            </w:pPr>
            <w:r>
              <w:rPr>
                <w:rFonts w:hint="eastAsia" w:ascii="仿宋_GB2312" w:hAnsi="仿宋_GB2312" w:eastAsia="仿宋_GB2312" w:cs="仿宋_GB2312"/>
                <w:b/>
                <w:bCs/>
                <w:sz w:val="24"/>
              </w:rPr>
              <w:t>二、</w:t>
            </w:r>
            <w:r>
              <w:rPr>
                <w:rFonts w:hint="eastAsia" w:ascii="仿宋" w:hAnsi="仿宋" w:eastAsia="仿宋"/>
                <w:b/>
                <w:bCs/>
                <w:kern w:val="0"/>
                <w:sz w:val="24"/>
              </w:rPr>
              <w:t>主要用途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8522" w:type="dxa"/>
            <w:gridSpan w:val="5"/>
            <w:vAlign w:val="center"/>
          </w:tcPr>
          <w:p>
            <w:pPr>
              <w:rPr>
                <w:rFonts w:ascii="仿宋_GB2312" w:hAnsi="仿宋_GB2312" w:eastAsia="仿宋_GB2312" w:cs="仿宋_GB2312"/>
                <w:sz w:val="24"/>
              </w:rPr>
            </w:pPr>
            <w:r>
              <w:rPr>
                <w:rFonts w:hint="eastAsia" w:ascii="仿宋_GB2312" w:hAnsi="仿宋_GB2312" w:eastAsia="仿宋_GB2312" w:cs="仿宋_GB2312"/>
                <w:sz w:val="24"/>
                <w:szCs w:val="24"/>
              </w:rPr>
              <w:t>该产品基于实时聚合酶链式反应（PCR）技术，与配套的Xpert</w:t>
            </w:r>
            <w:r>
              <w:rPr>
                <w:rFonts w:hint="eastAsia" w:ascii="仿宋_GB2312" w:hAnsi="仿宋_GB2312" w:eastAsia="仿宋_GB2312" w:cs="仿宋_GB2312"/>
                <w:sz w:val="24"/>
                <w:szCs w:val="24"/>
                <w:vertAlign w:val="superscript"/>
              </w:rPr>
              <w:t>®</w:t>
            </w:r>
            <w:r>
              <w:rPr>
                <w:rFonts w:hint="eastAsia" w:ascii="仿宋_GB2312" w:hAnsi="仿宋_GB2312" w:eastAsia="仿宋_GB2312" w:cs="仿宋_GB2312"/>
                <w:sz w:val="24"/>
                <w:szCs w:val="24"/>
              </w:rPr>
              <w:t>检测试剂共同使用，在临床上用于自动完成来源于人体的样本在核酸检测过程中的样本准备、核酸扩增以及目标序列在单一或者复杂样品中的检测。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8522" w:type="dxa"/>
            <w:gridSpan w:val="5"/>
            <w:vAlign w:val="center"/>
          </w:tcPr>
          <w:p>
            <w:pPr>
              <w:rPr>
                <w:rFonts w:ascii="仿宋_GB2312" w:hAnsi="仿宋_GB2312" w:eastAsia="仿宋_GB2312" w:cs="仿宋_GB2312"/>
                <w:sz w:val="24"/>
              </w:rPr>
            </w:pPr>
            <w:r>
              <w:rPr>
                <w:rFonts w:hint="eastAsia" w:ascii="仿宋_GB2312" w:hAnsi="仿宋_GB2312" w:eastAsia="仿宋_GB2312" w:cs="仿宋_GB2312"/>
                <w:b/>
                <w:bCs/>
                <w:sz w:val="24"/>
              </w:rPr>
              <w:t>三、适用情形（勾选其中1项）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8522" w:type="dxa"/>
            <w:gridSpan w:val="5"/>
            <w:tcBorders>
              <w:bottom w:val="single" w:color="auto" w:sz="4" w:space="0"/>
            </w:tcBorders>
            <w:vAlign w:val="center"/>
          </w:tcPr>
          <w:p>
            <w:pPr>
              <w:spacing w:line="360" w:lineRule="auto"/>
              <w:rPr>
                <w:rFonts w:ascii="仿宋_GB2312" w:hAnsi="仿宋_GB2312" w:eastAsia="仿宋_GB2312" w:cs="仿宋_GB2312"/>
                <w:sz w:val="24"/>
              </w:rPr>
            </w:pPr>
            <w:r>
              <w:rPr>
                <w:rFonts w:hint="eastAsia" w:ascii="仿宋_GB2312" w:hAnsi="仿宋_GB2312" w:eastAsia="仿宋_GB2312" w:cs="仿宋_GB2312"/>
                <w:sz w:val="24"/>
              </w:rPr>
              <w:sym w:font="Wingdings 2" w:char="0052"/>
            </w:r>
            <w:r>
              <w:rPr>
                <w:rFonts w:hint="eastAsia" w:ascii="仿宋_GB2312" w:hAnsi="仿宋_GB2312" w:eastAsia="仿宋_GB2312" w:cs="仿宋_GB2312"/>
                <w:sz w:val="24"/>
              </w:rPr>
              <w:t xml:space="preserve">  1.中国境内有国产同类产品但无法满足实质需求，确需采购进口产品的；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8522" w:type="dxa"/>
            <w:gridSpan w:val="5"/>
            <w:tcBorders>
              <w:bottom w:val="single" w:color="auto" w:sz="4" w:space="0"/>
            </w:tcBorders>
            <w:vAlign w:val="center"/>
          </w:tcPr>
          <w:p>
            <w:pPr>
              <w:spacing w:line="360" w:lineRule="auto"/>
              <w:rPr>
                <w:rFonts w:ascii="仿宋_GB2312" w:hAnsi="仿宋_GB2312" w:eastAsia="仿宋_GB2312" w:cs="仿宋_GB2312"/>
                <w:sz w:val="24"/>
              </w:rPr>
            </w:pPr>
            <w:r>
              <w:rPr>
                <w:rFonts w:hint="eastAsia" w:ascii="仿宋_GB2312" w:hAnsi="仿宋_GB2312" w:eastAsia="仿宋_GB2312" w:cs="仿宋_GB2312"/>
                <w:sz w:val="24"/>
              </w:rPr>
              <w:t>□  2.中国境内无法获取的：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8522" w:type="dxa"/>
            <w:gridSpan w:val="5"/>
            <w:tcBorders>
              <w:bottom w:val="single" w:color="auto" w:sz="4" w:space="0"/>
            </w:tcBorders>
            <w:vAlign w:val="center"/>
          </w:tcPr>
          <w:p>
            <w:pPr>
              <w:spacing w:line="360" w:lineRule="auto"/>
              <w:rPr>
                <w:rFonts w:ascii="仿宋_GB2312" w:hAnsi="仿宋_GB2312" w:eastAsia="仿宋_GB2312" w:cs="仿宋_GB2312"/>
                <w:sz w:val="24"/>
              </w:rPr>
            </w:pPr>
            <w:r>
              <w:rPr>
                <w:rFonts w:hint="eastAsia" w:ascii="仿宋_GB2312" w:hAnsi="仿宋_GB2312" w:eastAsia="仿宋_GB2312" w:cs="仿宋_GB2312"/>
                <w:sz w:val="24"/>
              </w:rPr>
              <w:t>□  3.为在中国境外使用而进行采购的；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8522" w:type="dxa"/>
            <w:gridSpan w:val="5"/>
            <w:tcBorders>
              <w:bottom w:val="single" w:color="auto" w:sz="4" w:space="0"/>
            </w:tcBorders>
            <w:vAlign w:val="center"/>
          </w:tcPr>
          <w:p>
            <w:pPr>
              <w:spacing w:line="360" w:lineRule="auto"/>
              <w:rPr>
                <w:rFonts w:ascii="仿宋_GB2312" w:hAnsi="仿宋_GB2312" w:eastAsia="仿宋_GB2312" w:cs="仿宋_GB2312"/>
                <w:sz w:val="24"/>
              </w:rPr>
            </w:pPr>
            <w:r>
              <w:rPr>
                <w:rFonts w:hint="eastAsia" w:ascii="仿宋_GB2312" w:hAnsi="仿宋_GB2312" w:eastAsia="仿宋_GB2312" w:cs="仿宋_GB2312"/>
                <w:sz w:val="24"/>
              </w:rPr>
              <w:t>□  4.高校、科研院所采购进口科研仪器设备的；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8522" w:type="dxa"/>
            <w:gridSpan w:val="5"/>
            <w:tcBorders>
              <w:top w:val="single" w:color="auto" w:sz="4" w:space="0"/>
            </w:tcBorders>
            <w:vAlign w:val="center"/>
          </w:tcPr>
          <w:p>
            <w:pPr>
              <w:spacing w:line="360" w:lineRule="auto"/>
              <w:rPr>
                <w:rFonts w:ascii="仿宋_GB2312" w:hAnsi="仿宋_GB2312" w:eastAsia="仿宋_GB2312" w:cs="仿宋_GB2312"/>
                <w:sz w:val="24"/>
              </w:rPr>
            </w:pPr>
            <w:r>
              <w:rPr>
                <w:rFonts w:hint="eastAsia" w:ascii="仿宋_GB2312" w:hAnsi="仿宋_GB2312" w:eastAsia="仿宋_GB2312" w:cs="仿宋_GB2312"/>
                <w:sz w:val="24"/>
              </w:rPr>
              <w:t>□  5.使用社科项目资金采购进口科研仪器设备的；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8522" w:type="dxa"/>
            <w:gridSpan w:val="5"/>
            <w:tcBorders>
              <w:top w:val="single" w:color="auto" w:sz="4" w:space="0"/>
            </w:tcBorders>
            <w:vAlign w:val="center"/>
          </w:tcPr>
          <w:p>
            <w:pPr>
              <w:spacing w:line="360" w:lineRule="auto"/>
              <w:rPr>
                <w:rFonts w:ascii="仿宋_GB2312" w:hAnsi="仿宋_GB2312" w:eastAsia="仿宋_GB2312" w:cs="仿宋_GB2312"/>
                <w:sz w:val="24"/>
              </w:rPr>
            </w:pPr>
            <w:r>
              <w:rPr>
                <w:rFonts w:hint="eastAsia" w:ascii="仿宋_GB2312" w:hAnsi="仿宋_GB2312" w:eastAsia="仿宋_GB2312" w:cs="仿宋_GB2312"/>
                <w:b/>
                <w:bCs/>
                <w:i/>
                <w:iCs/>
                <w:sz w:val="24"/>
              </w:rPr>
              <w:t>勾选上述第1项适用情形的，需填写下列内容：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4261" w:type="dxa"/>
            <w:gridSpan w:val="2"/>
            <w:vAlign w:val="center"/>
          </w:tcPr>
          <w:p>
            <w:pPr>
              <w:spacing w:line="360" w:lineRule="auto"/>
              <w:rPr>
                <w:rFonts w:ascii="仿宋_GB2312" w:hAnsi="仿宋_GB2312" w:eastAsia="仿宋_GB2312" w:cs="仿宋_GB2312"/>
                <w:sz w:val="24"/>
              </w:rPr>
            </w:pPr>
            <w:r>
              <w:rPr>
                <w:rFonts w:hint="eastAsia" w:ascii="仿宋_GB2312" w:hAnsi="仿宋_GB2312" w:eastAsia="仿宋_GB2312" w:cs="仿宋_GB2312"/>
                <w:sz w:val="24"/>
              </w:rPr>
              <w:t>国产同类产品名称</w:t>
            </w:r>
          </w:p>
        </w:tc>
        <w:tc>
          <w:tcPr>
            <w:tcW w:w="4261" w:type="dxa"/>
            <w:gridSpan w:val="3"/>
            <w:vAlign w:val="center"/>
          </w:tcPr>
          <w:p>
            <w:pPr>
              <w:spacing w:line="360" w:lineRule="auto"/>
              <w:rPr>
                <w:rFonts w:ascii="仿宋_GB2312" w:hAnsi="仿宋_GB2312" w:eastAsia="仿宋_GB2312" w:cs="仿宋_GB2312"/>
                <w:sz w:val="24"/>
              </w:rPr>
            </w:pPr>
            <w:r>
              <w:rPr>
                <w:rFonts w:hint="eastAsia" w:ascii="仿宋_GB2312" w:hAnsi="仿宋_GB2312" w:eastAsia="仿宋_GB2312" w:cs="仿宋_GB2312"/>
                <w:sz w:val="24"/>
              </w:rPr>
              <w:t>市场价格（单位：万元）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4261" w:type="dxa"/>
            <w:gridSpan w:val="2"/>
            <w:vAlign w:val="center"/>
          </w:tcPr>
          <w:p>
            <w:pPr>
              <w:spacing w:line="360" w:lineRule="auto"/>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实时荧光定量PCR仪</w:t>
            </w:r>
          </w:p>
        </w:tc>
        <w:tc>
          <w:tcPr>
            <w:tcW w:w="4261" w:type="dxa"/>
            <w:gridSpan w:val="3"/>
            <w:vAlign w:val="center"/>
          </w:tcPr>
          <w:p>
            <w:pPr>
              <w:spacing w:line="360" w:lineRule="auto"/>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10-80</w:t>
            </w: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8522" w:type="dxa"/>
            <w:gridSpan w:val="5"/>
            <w:vAlign w:val="center"/>
          </w:tcPr>
          <w:p>
            <w:pPr>
              <w:spacing w:line="360" w:lineRule="auto"/>
              <w:rPr>
                <w:rFonts w:ascii="仿宋_GB2312" w:hAnsi="仿宋_GB2312" w:eastAsia="仿宋_GB2312" w:cs="仿宋_GB2312"/>
                <w:sz w:val="24"/>
              </w:rPr>
            </w:pPr>
            <w:r>
              <w:rPr>
                <w:rFonts w:hint="eastAsia" w:ascii="仿宋_GB2312" w:hAnsi="仿宋_GB2312" w:eastAsia="仿宋_GB2312" w:cs="仿宋_GB2312"/>
                <w:b/>
                <w:bCs/>
                <w:sz w:val="24"/>
              </w:rPr>
              <w:t>四、申请理由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6" w:hRule="atLeast"/>
        </w:trPr>
        <w:tc>
          <w:tcPr>
            <w:tcW w:w="8522" w:type="dxa"/>
            <w:gridSpan w:val="5"/>
          </w:tcPr>
          <w:p>
            <w:pPr>
              <w:spacing w:line="360" w:lineRule="auto"/>
              <w:rPr>
                <w:rFonts w:ascii="仿宋_GB2312" w:hAnsi="仿宋_GB2312" w:eastAsia="仿宋_GB2312" w:cs="仿宋_GB2312"/>
                <w:sz w:val="24"/>
              </w:rPr>
            </w:pPr>
            <w:r>
              <w:rPr>
                <w:rFonts w:hint="eastAsia" w:ascii="仿宋_GB2312" w:hAnsi="仿宋_GB2312" w:eastAsia="仿宋_GB2312" w:cs="仿宋_GB2312"/>
                <w:sz w:val="24"/>
              </w:rPr>
              <w:t>采购进口产品的必要性、不可替代性、经济性和效益性等方面的理由阐述：</w:t>
            </w:r>
          </w:p>
          <w:p>
            <w:pPr>
              <w:numPr>
                <w:ilvl w:val="0"/>
                <w:numId w:val="1"/>
              </w:numPr>
              <w:spacing w:line="360" w:lineRule="exact"/>
              <w:rPr>
                <w:rFonts w:ascii="仿宋_GB2312" w:hAnsi="仿宋_GB2312" w:eastAsia="仿宋_GB2312" w:cs="仿宋_GB2312"/>
                <w:b/>
                <w:bCs/>
                <w:sz w:val="24"/>
              </w:rPr>
            </w:pPr>
            <w:r>
              <w:rPr>
                <w:rFonts w:hint="eastAsia" w:ascii="仿宋_GB2312" w:hAnsi="仿宋_GB2312" w:eastAsia="仿宋_GB2312" w:cs="仿宋_GB2312"/>
                <w:b/>
                <w:bCs/>
                <w:sz w:val="24"/>
              </w:rPr>
              <w:t>必要性说明（政策依据、工作任务等）</w:t>
            </w:r>
          </w:p>
          <w:p>
            <w:pPr>
              <w:spacing w:line="360" w:lineRule="exact"/>
              <w:ind w:firstLine="418"/>
              <w:rPr>
                <w:rFonts w:hint="eastAsia" w:ascii="仿宋_GB2312" w:hAnsi="仿宋_GB2312" w:eastAsia="仿宋_GB2312" w:cs="仿宋_GB2312"/>
                <w:sz w:val="24"/>
              </w:rPr>
            </w:pPr>
            <w:r>
              <w:rPr>
                <w:rFonts w:hint="eastAsia" w:ascii="仿宋_GB2312" w:hAnsi="仿宋_GB2312" w:eastAsia="仿宋_GB2312" w:cs="仿宋_GB2312"/>
                <w:sz w:val="24"/>
              </w:rPr>
              <w:t>从核酸检测设备角度来讲，传统PCR仪需要搭配专用的核酸提取仪，操作繁琐，存在核酸暴露，易产生污染，受到试剂批次、生产厂家和操作方式的影响，检测结果重复性较差，不适用于快速准确鉴别病原体的需求，需要采购包括将样品准备，扩增与检测过程完全整合的全自动医用PCR分析系统。</w:t>
            </w:r>
          </w:p>
          <w:p>
            <w:pPr>
              <w:spacing w:line="360" w:lineRule="exact"/>
              <w:ind w:firstLine="418"/>
              <w:rPr>
                <w:rFonts w:hint="eastAsia" w:ascii="仿宋_GB2312" w:hAnsi="仿宋_GB2312" w:eastAsia="仿宋_GB2312" w:cs="仿宋_GB2312"/>
                <w:sz w:val="24"/>
              </w:rPr>
            </w:pPr>
            <w:r>
              <w:rPr>
                <w:rFonts w:hint="eastAsia" w:ascii="仿宋_GB2312" w:hAnsi="仿宋_GB2312" w:eastAsia="仿宋_GB2312" w:cs="仿宋_GB2312"/>
                <w:sz w:val="24"/>
              </w:rPr>
              <w:t>目前使用的传统结核分枝杆菌的鉴定方法抗酸染色灵敏度较差，需要人工肉眼判读，存在人为误差，多篇文献报道基于抗酸染色的方法在实际进行结核初始诊断时灵敏度均在50%左右，同时无法区分非结核分枝杆菌。2017年国家卫健委发布了《肺结核诊断标准WS 288-2017》，进一步明确了分子生物学检查在结核分枝杆菌检测、鉴定和药敏实验中的重要性。</w:t>
            </w:r>
          </w:p>
          <w:p>
            <w:pPr>
              <w:spacing w:line="360" w:lineRule="exact"/>
              <w:ind w:firstLine="418"/>
              <w:rPr>
                <w:rFonts w:hint="eastAsia" w:ascii="仿宋_GB2312" w:hAnsi="仿宋_GB2312" w:eastAsia="仿宋_GB2312" w:cs="仿宋_GB2312"/>
                <w:sz w:val="24"/>
              </w:rPr>
            </w:pPr>
            <w:r>
              <w:rPr>
                <w:rFonts w:hint="eastAsia" w:ascii="仿宋_GB2312" w:hAnsi="仿宋_GB2312" w:eastAsia="仿宋_GB2312" w:cs="仿宋_GB2312"/>
                <w:sz w:val="24"/>
              </w:rPr>
              <w:t>因此，拥有基于分子生物学、手工操作时间短、自动化程度高，能够准确鉴别结核分枝杆菌的技术及产品可满足我省结核病防控工作不断提升的需求，快速准确的得到鉴定以及药敏的实验结果。</w:t>
            </w:r>
          </w:p>
          <w:p>
            <w:pPr>
              <w:numPr>
                <w:ilvl w:val="-1"/>
                <w:numId w:val="0"/>
              </w:numPr>
              <w:spacing w:line="360" w:lineRule="exact"/>
              <w:ind w:firstLine="418"/>
              <w:rPr>
                <w:rFonts w:ascii="仿宋_GB2312" w:hAnsi="仿宋_GB2312" w:eastAsia="仿宋_GB2312" w:cs="仿宋_GB2312"/>
                <w:b/>
                <w:bCs/>
                <w:sz w:val="24"/>
              </w:rPr>
            </w:pPr>
            <w:r>
              <w:rPr>
                <w:rFonts w:hint="eastAsia" w:ascii="仿宋_GB2312" w:hAnsi="仿宋_GB2312" w:eastAsia="仿宋_GB2312" w:cs="仿宋_GB2312"/>
                <w:sz w:val="24"/>
              </w:rPr>
              <w:t>鉴于目前实际的检测需求，结核分枝杆菌基因快速鉴定需要使用全自动医用PCR系统。</w:t>
            </w:r>
          </w:p>
          <w:p>
            <w:pPr>
              <w:numPr>
                <w:ilvl w:val="0"/>
                <w:numId w:val="1"/>
              </w:numPr>
              <w:spacing w:line="360" w:lineRule="exact"/>
              <w:rPr>
                <w:rFonts w:ascii="仿宋_GB2312" w:hAnsi="仿宋_GB2312" w:eastAsia="仿宋_GB2312" w:cs="仿宋_GB2312"/>
                <w:b/>
                <w:bCs/>
                <w:sz w:val="24"/>
              </w:rPr>
            </w:pPr>
            <w:r>
              <w:rPr>
                <w:rFonts w:hint="eastAsia" w:ascii="仿宋_GB2312" w:hAnsi="仿宋_GB2312" w:eastAsia="仿宋_GB2312" w:cs="仿宋_GB2312"/>
                <w:b/>
                <w:bCs/>
                <w:sz w:val="24"/>
              </w:rPr>
              <w:t>不可替代性说明（对开展工作的实质性影响等）：</w:t>
            </w:r>
          </w:p>
          <w:p>
            <w:pPr>
              <w:pStyle w:val="8"/>
              <w:spacing w:after="120" w:line="360" w:lineRule="exact"/>
              <w:rPr>
                <w:rFonts w:hint="eastAsia" w:ascii="仿宋_GB2312" w:hAnsi="仿宋_GB2312" w:eastAsia="仿宋_GB2312" w:cs="仿宋_GB2312"/>
                <w:sz w:val="24"/>
              </w:rPr>
            </w:pPr>
            <w:r>
              <w:rPr>
                <w:rFonts w:hint="eastAsia" w:ascii="仿宋_GB2312" w:hAnsi="仿宋_GB2312" w:eastAsia="仿宋_GB2312" w:cs="仿宋_GB2312"/>
                <w:sz w:val="24"/>
              </w:rPr>
              <w:t>全自动医用PCR分析系统适用微生物种类、耐药、病毒亚型以及载量的鉴定，具备结核分枝杆菌基因快速鉴定能力，应满足如下主要技术指标：</w:t>
            </w:r>
          </w:p>
          <w:p>
            <w:pPr>
              <w:pStyle w:val="8"/>
              <w:spacing w:after="120" w:line="360" w:lineRule="exact"/>
              <w:rPr>
                <w:rFonts w:hint="eastAsia" w:ascii="仿宋_GB2312" w:hAnsi="仿宋_GB2312" w:eastAsia="仿宋_GB2312" w:cs="仿宋_GB2312"/>
                <w:sz w:val="24"/>
              </w:rPr>
            </w:pPr>
            <w:r>
              <w:rPr>
                <w:rFonts w:hint="eastAsia" w:ascii="仿宋_GB2312" w:hAnsi="仿宋_GB2312" w:eastAsia="仿宋_GB2312" w:cs="仿宋_GB2312"/>
                <w:sz w:val="24"/>
              </w:rPr>
              <w:t>1.仪器的通量≥4个，既能满足日常工作需要，同时也可根据样本量的多少进行仪器检测通量的升级。</w:t>
            </w:r>
          </w:p>
          <w:p>
            <w:pPr>
              <w:pStyle w:val="8"/>
              <w:spacing w:after="120" w:line="360" w:lineRule="exact"/>
              <w:rPr>
                <w:rFonts w:hint="eastAsia" w:ascii="仿宋_GB2312" w:hAnsi="仿宋_GB2312" w:eastAsia="仿宋_GB2312" w:cs="仿宋_GB2312"/>
                <w:sz w:val="24"/>
              </w:rPr>
            </w:pPr>
            <w:r>
              <w:rPr>
                <w:rFonts w:hint="eastAsia" w:ascii="仿宋_GB2312" w:hAnsi="仿宋_GB2312" w:eastAsia="仿宋_GB2312" w:cs="仿宋_GB2312"/>
                <w:sz w:val="24"/>
              </w:rPr>
              <w:t>2.鉴定种类：结核分枝杆菌、金黄色葡萄球菌、产毒艰难梭菌、艾滋病毒（HIV-1）、乙型肝炎病毒、丙型肝炎病毒、季节性流感病毒等。</w:t>
            </w:r>
          </w:p>
          <w:p>
            <w:pPr>
              <w:pStyle w:val="8"/>
              <w:spacing w:after="120" w:line="360" w:lineRule="exact"/>
              <w:rPr>
                <w:rFonts w:hint="eastAsia" w:ascii="仿宋_GB2312" w:hAnsi="仿宋_GB2312" w:eastAsia="仿宋_GB2312" w:cs="仿宋_GB2312"/>
                <w:sz w:val="24"/>
              </w:rPr>
            </w:pPr>
            <w:r>
              <w:rPr>
                <w:rFonts w:hint="eastAsia" w:ascii="仿宋_GB2312" w:hAnsi="仿宋_GB2312" w:eastAsia="仿宋_GB2312" w:cs="仿宋_GB2312"/>
                <w:sz w:val="24"/>
              </w:rPr>
              <w:t>3.必须包含种类：结核分枝杆菌基因检测及耐药相关基因突变。</w:t>
            </w:r>
          </w:p>
          <w:p>
            <w:pPr>
              <w:pStyle w:val="8"/>
              <w:spacing w:after="120" w:line="360" w:lineRule="exact"/>
              <w:rPr>
                <w:rFonts w:hint="eastAsia" w:ascii="仿宋_GB2312" w:hAnsi="仿宋_GB2312" w:eastAsia="仿宋_GB2312" w:cs="仿宋_GB2312"/>
                <w:sz w:val="24"/>
              </w:rPr>
            </w:pPr>
            <w:r>
              <w:rPr>
                <w:rFonts w:hint="eastAsia" w:ascii="仿宋_GB2312" w:hAnsi="仿宋_GB2312" w:eastAsia="仿宋_GB2312" w:cs="仿宋_GB2312"/>
                <w:sz w:val="24"/>
              </w:rPr>
              <w:t>4.技术原理：目前传染性疾病应用最广泛的分子生物学方法是基于聚合酶链式反应（PCR）鉴定的原理，在基于该原理的检测方式上，有通过实时荧光定量PCR技术和恒温扩增PCR检测技术，实时荧光定量PCR技术在微生物鉴定和定量方面具有一定的优势。</w:t>
            </w:r>
          </w:p>
          <w:p>
            <w:pPr>
              <w:pStyle w:val="8"/>
              <w:spacing w:after="120" w:line="360" w:lineRule="exact"/>
              <w:rPr>
                <w:rFonts w:hint="eastAsia" w:ascii="仿宋_GB2312" w:hAnsi="仿宋_GB2312" w:eastAsia="仿宋_GB2312" w:cs="仿宋_GB2312"/>
                <w:sz w:val="24"/>
              </w:rPr>
            </w:pPr>
            <w:r>
              <w:rPr>
                <w:rFonts w:hint="eastAsia" w:ascii="仿宋_GB2312" w:hAnsi="仿宋_GB2312" w:eastAsia="仿宋_GB2312" w:cs="仿宋_GB2312"/>
                <w:sz w:val="24"/>
              </w:rPr>
              <w:t>5.自动化程度：目前分子生物学技术已可以实现样本处理、核酸提取、扩增检测一体化、封闭化进行，不仅减少了外界因素对实验结果的干扰，也极大的避免了进行结核分枝杆菌鉴定时对操作人员的生物安全问题。</w:t>
            </w:r>
          </w:p>
          <w:p>
            <w:pPr>
              <w:pStyle w:val="8"/>
              <w:spacing w:after="120" w:line="360" w:lineRule="exact"/>
              <w:rPr>
                <w:rFonts w:hint="eastAsia" w:ascii="仿宋_GB2312" w:hAnsi="仿宋_GB2312" w:eastAsia="仿宋_GB2312" w:cs="仿宋_GB2312"/>
                <w:sz w:val="24"/>
              </w:rPr>
            </w:pPr>
            <w:r>
              <w:rPr>
                <w:rFonts w:hint="eastAsia" w:ascii="仿宋_GB2312" w:hAnsi="仿宋_GB2312" w:eastAsia="仿宋_GB2312" w:cs="仿宋_GB2312"/>
                <w:sz w:val="24"/>
              </w:rPr>
              <w:t>6.仪器结果质控及判读：全自动判读，仪器直接报告结果，能够实现样本独立质控，独立反应体系以及具备实验结果质控能力。</w:t>
            </w:r>
          </w:p>
          <w:p>
            <w:pPr>
              <w:pStyle w:val="8"/>
              <w:spacing w:after="120" w:line="360" w:lineRule="exact"/>
              <w:rPr>
                <w:rFonts w:hint="eastAsia" w:ascii="仿宋_GB2312" w:hAnsi="仿宋_GB2312" w:eastAsia="仿宋_GB2312" w:cs="仿宋_GB2312"/>
                <w:sz w:val="24"/>
              </w:rPr>
            </w:pPr>
            <w:r>
              <w:rPr>
                <w:rFonts w:hint="eastAsia" w:ascii="仿宋_GB2312" w:hAnsi="仿宋_GB2312" w:eastAsia="仿宋_GB2312" w:cs="仿宋_GB2312"/>
                <w:sz w:val="24"/>
              </w:rPr>
              <w:t>7.检测速度：最快在2小时内得到鉴定结果，平均鉴定时间为2.5小时。</w:t>
            </w:r>
          </w:p>
          <w:p>
            <w:pPr>
              <w:pStyle w:val="8"/>
              <w:spacing w:after="120" w:line="360" w:lineRule="exact"/>
              <w:rPr>
                <w:rFonts w:hint="eastAsia" w:ascii="仿宋_GB2312" w:hAnsi="仿宋_GB2312" w:eastAsia="仿宋_GB2312" w:cs="仿宋_GB2312"/>
                <w:sz w:val="24"/>
              </w:rPr>
            </w:pPr>
            <w:r>
              <w:rPr>
                <w:rFonts w:hint="eastAsia" w:ascii="仿宋_GB2312" w:hAnsi="仿宋_GB2312" w:eastAsia="仿宋_GB2312" w:cs="仿宋_GB2312"/>
                <w:sz w:val="24"/>
              </w:rPr>
              <w:t>8.实验耗材：所有检测无需附加实验或附加试剂耗材，试剂可常温储存；</w:t>
            </w:r>
          </w:p>
          <w:p>
            <w:pPr>
              <w:pStyle w:val="8"/>
              <w:spacing w:after="120" w:line="3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9.操作方式：加样方式简单，故障少；在上机过程中能保证待测样本为全封闭状态，减少污染并避免生物安全危害。</w:t>
            </w:r>
          </w:p>
          <w:p>
            <w:pPr>
              <w:pStyle w:val="8"/>
              <w:spacing w:after="120"/>
              <w:rPr>
                <w:rFonts w:ascii="仿宋_GB2312" w:hAnsi="仿宋_GB2312" w:eastAsia="仿宋_GB2312" w:cs="仿宋_GB2312"/>
                <w:b/>
                <w:bCs/>
                <w:sz w:val="24"/>
              </w:rPr>
            </w:pPr>
            <w:r>
              <w:rPr>
                <w:rFonts w:hint="eastAsia" w:ascii="仿宋_GB2312" w:hAnsi="仿宋_GB2312" w:eastAsia="仿宋_GB2312" w:cs="仿宋_GB2312"/>
                <w:sz w:val="24"/>
              </w:rPr>
              <w:t>10.仪器配置：全自动医用PCR分析系统主机、专用电脑及数据处理组件、UPS、扫码。</w:t>
            </w:r>
          </w:p>
          <w:p>
            <w:pPr>
              <w:numPr>
                <w:ilvl w:val="0"/>
                <w:numId w:val="1"/>
              </w:numPr>
              <w:spacing w:line="360" w:lineRule="exact"/>
              <w:rPr>
                <w:rFonts w:ascii="仿宋_GB2312" w:hAnsi="仿宋_GB2312" w:eastAsia="仿宋_GB2312" w:cs="仿宋_GB2312"/>
                <w:b/>
                <w:bCs/>
                <w:sz w:val="24"/>
              </w:rPr>
            </w:pPr>
            <w:r>
              <w:rPr>
                <w:rFonts w:hint="eastAsia" w:ascii="仿宋_GB2312" w:hAnsi="仿宋_GB2312" w:eastAsia="仿宋_GB2312" w:cs="仿宋_GB2312"/>
                <w:b/>
                <w:bCs/>
                <w:sz w:val="24"/>
              </w:rPr>
              <w:t>经济性和效益性说明（市场价格是否合理经济以及预期效益等）</w:t>
            </w:r>
          </w:p>
          <w:p>
            <w:pPr>
              <w:autoSpaceDE w:val="0"/>
              <w:autoSpaceDN w:val="0"/>
              <w:adjustRightInd w:val="0"/>
              <w:spacing w:line="3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医疗教学科研：分子POCT是未来检验医学发展的重要分支，该平台是目前国内外最先进的即时分子诊断（POCT）平台，其在结核分枝杆菌、流感等感染性疾病方便应用广泛，该平台能够培养相关分子诊断技术型人才，并可开展有关基因检测相关研究。</w:t>
            </w:r>
          </w:p>
          <w:p>
            <w:pPr>
              <w:autoSpaceDE w:val="0"/>
              <w:autoSpaceDN w:val="0"/>
              <w:adjustRightInd w:val="0"/>
              <w:spacing w:line="3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技术优势：荧光检测限＜1nM，6色稳定荧光通道，单模块的固态加热和强制空气冷却，搭载一次性反应盒，操作简单，结果可靠。</w:t>
            </w:r>
          </w:p>
          <w:p>
            <w:pPr>
              <w:autoSpaceDE w:val="0"/>
              <w:autoSpaceDN w:val="0"/>
              <w:adjustRightInd w:val="0"/>
              <w:spacing w:line="3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发展前景：该系统除了在其主要产品Xpert MTB/RIF的广泛应用之外，其在医疗相关性感染、危重感染、病毒、性健康、妇女健康、肿瘤遗传等基因检测方面也具有相对应的成熟产品，相信未来该系统将形成一个即时分子诊断平台。</w:t>
            </w:r>
          </w:p>
          <w:p>
            <w:pPr>
              <w:spacing w:line="360" w:lineRule="exact"/>
              <w:ind w:right="252" w:rightChars="120"/>
              <w:jc w:val="left"/>
              <w:rPr>
                <w:rFonts w:ascii="仿宋_GB2312" w:hAnsi="仿宋_GB2312" w:eastAsia="仿宋_GB2312" w:cs="仿宋_GB2312"/>
                <w:sz w:val="24"/>
              </w:rPr>
            </w:pPr>
            <w:r>
              <w:rPr>
                <w:rFonts w:hint="eastAsia" w:ascii="仿宋_GB2312" w:hAnsi="仿宋_GB2312" w:eastAsia="仿宋_GB2312" w:cs="仿宋_GB2312"/>
                <w:sz w:val="24"/>
                <w:szCs w:val="24"/>
              </w:rPr>
              <w:t>社会效益：以主要产品Xpert MTB/RIF为例，快速检测为整体医疗费用节约带来的价值，已有很多文献报道。因为当日可获得结核及利福平耐药结核诊断的准确结果，显著缩短了对疑似患者的隔离费用，也降低了感染患者在等待结果期间在医院内的播散风险。美国《危重呼吸性疾病护理杂志》2014年报道，通过Xpert</w:t>
            </w:r>
            <w:r>
              <w:rPr>
                <w:rFonts w:hint="eastAsia" w:ascii="仿宋_GB2312" w:hAnsi="仿宋_GB2312" w:eastAsia="仿宋_GB2312" w:cs="仿宋_GB2312"/>
                <w:sz w:val="24"/>
                <w:szCs w:val="24"/>
                <w:vertAlign w:val="superscript"/>
              </w:rPr>
              <w:t xml:space="preserve">® </w:t>
            </w:r>
            <w:r>
              <w:rPr>
                <w:rFonts w:hint="eastAsia" w:ascii="仿宋_GB2312" w:hAnsi="仿宋_GB2312" w:eastAsia="仿宋_GB2312" w:cs="仿宋_GB2312"/>
                <w:sz w:val="24"/>
                <w:szCs w:val="24"/>
              </w:rPr>
              <w:t xml:space="preserve">MTB/RIF的引入，将错误的经验性抗结核药物治疗日从2280日/年减少至111日/年，降低了95.2%的额外药物成本。在河源地区应用之后对于结核病人也将节省大部分因诊断不准确导致的医疗费用。   </w:t>
            </w:r>
          </w:p>
          <w:p>
            <w:pPr>
              <w:numPr>
                <w:ilvl w:val="0"/>
                <w:numId w:val="1"/>
              </w:numPr>
              <w:spacing w:line="360" w:lineRule="exact"/>
              <w:ind w:firstLine="0" w:firstLineChars="0"/>
              <w:rPr>
                <w:rFonts w:hint="eastAsia" w:ascii="仿宋_GB2312" w:hAnsi="仿宋_GB2312" w:eastAsia="仿宋_GB2312" w:cs="仿宋_GB2312"/>
                <w:b/>
                <w:bCs/>
                <w:sz w:val="24"/>
              </w:rPr>
            </w:pPr>
            <w:r>
              <w:rPr>
                <w:rFonts w:hint="eastAsia" w:ascii="仿宋_GB2312" w:hAnsi="仿宋_GB2312" w:eastAsia="仿宋_GB2312" w:cs="仿宋_GB2312"/>
                <w:b/>
                <w:bCs/>
                <w:sz w:val="24"/>
              </w:rPr>
              <w:t>国内同类产品与进口产品的主要差异性说明（第1种适用情形的，需说明）</w:t>
            </w:r>
          </w:p>
          <w:p>
            <w:pPr>
              <w:widowControl/>
              <w:spacing w:line="360" w:lineRule="exact"/>
              <w:ind w:firstLine="480" w:firstLineChars="200"/>
              <w:jc w:val="left"/>
              <w:rPr>
                <w:rFonts w:hint="eastAsia" w:ascii="仿宋_GB2312" w:hAnsi="仿宋_GB2312" w:eastAsia="仿宋_GB2312" w:cs="仿宋_GB2312"/>
                <w:bCs/>
                <w:kern w:val="0"/>
                <w:sz w:val="24"/>
                <w:szCs w:val="24"/>
              </w:rPr>
            </w:pPr>
            <w:r>
              <w:rPr>
                <w:rFonts w:hint="eastAsia" w:ascii="仿宋_GB2312" w:hAnsi="仿宋_GB2312" w:eastAsia="仿宋_GB2312" w:cs="仿宋_GB2312"/>
                <w:b w:val="0"/>
                <w:bCs w:val="0"/>
                <w:sz w:val="24"/>
                <w:lang w:val="en-US" w:eastAsia="zh-CN"/>
              </w:rPr>
              <w:t>1.</w:t>
            </w:r>
            <w:r>
              <w:rPr>
                <w:rFonts w:hint="eastAsia" w:ascii="仿宋_GB2312" w:hAnsi="仿宋_GB2312" w:eastAsia="仿宋_GB2312" w:cs="仿宋_GB2312"/>
                <w:bCs/>
                <w:kern w:val="0"/>
                <w:sz w:val="24"/>
                <w:szCs w:val="24"/>
              </w:rPr>
              <w:t>国内产品需要批量检测，无法对零散的样本进行现场检测</w:t>
            </w:r>
            <w:r>
              <w:rPr>
                <w:rFonts w:hint="eastAsia" w:ascii="仿宋_GB2312" w:hAnsi="仿宋_GB2312" w:eastAsia="仿宋_GB2312" w:cs="仿宋_GB2312"/>
                <w:bCs/>
                <w:kern w:val="0"/>
                <w:sz w:val="24"/>
                <w:szCs w:val="24"/>
                <w:lang w:eastAsia="zh-CN"/>
              </w:rPr>
              <w:t>。</w:t>
            </w:r>
          </w:p>
          <w:p>
            <w:pPr>
              <w:widowControl/>
              <w:spacing w:line="360" w:lineRule="exact"/>
              <w:ind w:firstLine="480" w:firstLineChars="200"/>
              <w:jc w:val="left"/>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lang w:val="en-US" w:eastAsia="zh-CN"/>
              </w:rPr>
              <w:t>2.</w:t>
            </w:r>
            <w:r>
              <w:rPr>
                <w:rFonts w:hint="eastAsia" w:ascii="仿宋_GB2312" w:hAnsi="仿宋_GB2312" w:eastAsia="仿宋_GB2312" w:cs="仿宋_GB2312"/>
                <w:bCs/>
                <w:kern w:val="0"/>
                <w:sz w:val="24"/>
                <w:szCs w:val="24"/>
              </w:rPr>
              <w:t>国内产品无法在一体机全封闭系统内完成核酸提取、扩增、检测，容易造成污染</w:t>
            </w:r>
            <w:r>
              <w:rPr>
                <w:rFonts w:hint="eastAsia" w:ascii="仿宋_GB2312" w:hAnsi="仿宋_GB2312" w:eastAsia="仿宋_GB2312" w:cs="仿宋_GB2312"/>
                <w:bCs/>
                <w:kern w:val="0"/>
                <w:sz w:val="24"/>
                <w:szCs w:val="24"/>
                <w:lang w:eastAsia="zh-CN"/>
              </w:rPr>
              <w:t>。</w:t>
            </w:r>
          </w:p>
          <w:p>
            <w:pPr>
              <w:spacing w:line="3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bCs/>
                <w:kern w:val="0"/>
                <w:sz w:val="24"/>
                <w:szCs w:val="24"/>
                <w:lang w:val="en-US" w:eastAsia="zh-CN"/>
              </w:rPr>
              <w:t>3.</w:t>
            </w:r>
            <w:r>
              <w:rPr>
                <w:rFonts w:hint="eastAsia" w:ascii="仿宋_GB2312" w:hAnsi="仿宋_GB2312" w:eastAsia="仿宋_GB2312" w:cs="仿宋_GB2312"/>
                <w:bCs/>
                <w:kern w:val="0"/>
                <w:sz w:val="24"/>
                <w:szCs w:val="24"/>
              </w:rPr>
              <w:t>国内产品检测下线基本无法达到</w:t>
            </w:r>
            <w:r>
              <w:rPr>
                <w:rFonts w:hint="eastAsia" w:ascii="仿宋_GB2312" w:hAnsi="仿宋_GB2312" w:eastAsia="仿宋_GB2312" w:cs="仿宋_GB2312"/>
                <w:sz w:val="24"/>
                <w:szCs w:val="24"/>
              </w:rPr>
              <w:t>检测下限低至15.3 cp/mL（基于VQA标准品）。</w:t>
            </w:r>
          </w:p>
          <w:p>
            <w:pPr>
              <w:spacing w:line="360" w:lineRule="auto"/>
              <w:rPr>
                <w:rFonts w:ascii="仿宋_GB2312" w:hAnsi="仿宋_GB2312" w:eastAsia="仿宋_GB2312" w:cs="仿宋_GB2312"/>
                <w:b/>
                <w:bCs/>
                <w:sz w:val="24"/>
              </w:rPr>
            </w:pPr>
          </w:p>
          <w:p>
            <w:pPr>
              <w:spacing w:line="240" w:lineRule="auto"/>
              <w:rPr>
                <w:rFonts w:ascii="Calibri" w:hAnsi="Calibri" w:eastAsia="宋体" w:cs="Times New Roman"/>
                <w:kern w:val="2"/>
                <w:sz w:val="21"/>
                <w:szCs w:val="24"/>
                <w:lang w:val="en-US" w:eastAsia="zh-CN" w:bidi="ar-SA"/>
              </w:rPr>
            </w:pPr>
          </w:p>
          <w:p>
            <w:pPr>
              <w:spacing w:line="240" w:lineRule="auto"/>
              <w:rPr>
                <w:lang w:val="en-US" w:eastAsia="zh-CN"/>
              </w:rPr>
            </w:pPr>
          </w:p>
          <w:p>
            <w:pPr>
              <w:spacing w:line="240" w:lineRule="auto"/>
              <w:rPr>
                <w:lang w:val="en-US" w:eastAsia="zh-CN"/>
              </w:rPr>
            </w:pPr>
          </w:p>
          <w:p>
            <w:pPr>
              <w:spacing w:line="240" w:lineRule="auto"/>
              <w:rPr>
                <w:lang w:val="en-US" w:eastAsia="zh-CN"/>
              </w:rPr>
            </w:pPr>
          </w:p>
          <w:p>
            <w:pPr>
              <w:spacing w:line="240" w:lineRule="auto"/>
              <w:rPr>
                <w:lang w:val="en-US" w:eastAsia="zh-CN"/>
              </w:rPr>
            </w:pPr>
          </w:p>
          <w:p>
            <w:pPr>
              <w:spacing w:line="240" w:lineRule="auto"/>
              <w:rPr>
                <w:lang w:val="en-US" w:eastAsia="zh-CN"/>
              </w:rPr>
            </w:pPr>
          </w:p>
          <w:p>
            <w:pPr>
              <w:spacing w:line="240" w:lineRule="auto"/>
              <w:rPr>
                <w:lang w:val="en-US" w:eastAsia="zh-CN"/>
              </w:rPr>
            </w:pPr>
          </w:p>
          <w:p>
            <w:pPr>
              <w:tabs>
                <w:tab w:val="left" w:pos="632"/>
              </w:tabs>
              <w:spacing w:line="240" w:lineRule="auto"/>
              <w:jc w:val="left"/>
              <w:rPr>
                <w:lang w:val="en-US" w:eastAsia="zh-CN"/>
              </w:rPr>
            </w:pPr>
          </w:p>
        </w:tc>
      </w:tr>
    </w:tbl>
    <w:p>
      <w:pPr>
        <w:spacing w:line="400" w:lineRule="exact"/>
        <w:rPr>
          <w:rFonts w:ascii="楷体_GB2312" w:hAnsi="楷体_GB2312" w:eastAsia="楷体_GB2312" w:cs="楷体_GB2312"/>
          <w:sz w:val="28"/>
          <w:szCs w:val="28"/>
        </w:rPr>
      </w:pPr>
      <w:r>
        <w:rPr>
          <w:rFonts w:hint="eastAsia" w:ascii="楷体_GB2312" w:hAnsi="楷体_GB2312" w:eastAsia="楷体_GB2312" w:cs="楷体_GB2312"/>
          <w:sz w:val="28"/>
          <w:szCs w:val="28"/>
        </w:rPr>
        <w:t>注：1.进口产品或者国产同类产品涉及多个的，逐一详细填写；</w:t>
      </w:r>
    </w:p>
    <w:p>
      <w:pPr>
        <w:spacing w:line="400" w:lineRule="exact"/>
        <w:rPr>
          <w:rFonts w:ascii="楷体_GB2312" w:hAnsi="楷体_GB2312" w:eastAsia="楷体_GB2312" w:cs="楷体_GB2312"/>
          <w:sz w:val="28"/>
          <w:szCs w:val="28"/>
        </w:rPr>
      </w:pPr>
      <w:r>
        <w:rPr>
          <w:rFonts w:hint="eastAsia" w:ascii="楷体_GB2312" w:hAnsi="楷体_GB2312" w:eastAsia="楷体_GB2312" w:cs="楷体_GB2312"/>
          <w:sz w:val="28"/>
          <w:szCs w:val="28"/>
        </w:rPr>
        <w:t xml:space="preserve">    2.进口产品隶属不同采购项目的，按采购项目分别填报。</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楷体_GB2312">
    <w:altName w:val="楷体"/>
    <w:panose1 w:val="00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75018FA"/>
    <w:multiLevelType w:val="singleLevel"/>
    <w:tmpl w:val="C75018FA"/>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RiOGM0ZGY0MjVjMzRjMGMwMTcyMzQ2NDFiMzczOTYifQ=="/>
  </w:docVars>
  <w:rsids>
    <w:rsidRoot w:val="06FE4A56"/>
    <w:rsid w:val="00013D37"/>
    <w:rsid w:val="000D1EEE"/>
    <w:rsid w:val="00527948"/>
    <w:rsid w:val="04E558BF"/>
    <w:rsid w:val="06FE4A56"/>
    <w:rsid w:val="0D837756"/>
    <w:rsid w:val="11DA1CE4"/>
    <w:rsid w:val="17D24EC1"/>
    <w:rsid w:val="1AB8279B"/>
    <w:rsid w:val="20107588"/>
    <w:rsid w:val="21AA63A7"/>
    <w:rsid w:val="235814B1"/>
    <w:rsid w:val="23687FBD"/>
    <w:rsid w:val="25D03F64"/>
    <w:rsid w:val="25FF2CFB"/>
    <w:rsid w:val="27110C67"/>
    <w:rsid w:val="2CD74EC2"/>
    <w:rsid w:val="31311667"/>
    <w:rsid w:val="32191524"/>
    <w:rsid w:val="34390B0E"/>
    <w:rsid w:val="35AE3FCE"/>
    <w:rsid w:val="384E493B"/>
    <w:rsid w:val="398C62EC"/>
    <w:rsid w:val="3BCE0E96"/>
    <w:rsid w:val="3C7A350D"/>
    <w:rsid w:val="3CFE1583"/>
    <w:rsid w:val="43ED33E2"/>
    <w:rsid w:val="44F676FB"/>
    <w:rsid w:val="459B5505"/>
    <w:rsid w:val="461F75B3"/>
    <w:rsid w:val="487345CF"/>
    <w:rsid w:val="4D6406F6"/>
    <w:rsid w:val="4E1666DF"/>
    <w:rsid w:val="4F6808DF"/>
    <w:rsid w:val="50AD754D"/>
    <w:rsid w:val="5C9A6B6C"/>
    <w:rsid w:val="65536566"/>
    <w:rsid w:val="698A0849"/>
    <w:rsid w:val="70207892"/>
    <w:rsid w:val="72B96640"/>
    <w:rsid w:val="756757D0"/>
    <w:rsid w:val="7AA767D3"/>
    <w:rsid w:val="7ABD0411"/>
    <w:rsid w:val="7F58187B"/>
    <w:rsid w:val="7FA439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1"/>
    <w:qFormat/>
    <w:uiPriority w:val="0"/>
    <w:pPr>
      <w:tabs>
        <w:tab w:val="center" w:pos="4153"/>
        <w:tab w:val="right" w:pos="8306"/>
      </w:tabs>
      <w:snapToGrid w:val="0"/>
      <w:jc w:val="left"/>
    </w:pPr>
    <w:rPr>
      <w:sz w:val="18"/>
      <w:szCs w:val="18"/>
    </w:rPr>
  </w:style>
  <w:style w:type="paragraph" w:styleId="3">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4">
    <w:name w:val="Title"/>
    <w:basedOn w:val="1"/>
    <w:next w:val="1"/>
    <w:qFormat/>
    <w:uiPriority w:val="0"/>
    <w:pPr>
      <w:spacing w:before="240" w:after="60"/>
      <w:jc w:val="center"/>
      <w:outlineLvl w:val="0"/>
    </w:pPr>
    <w:rPr>
      <w:rFonts w:ascii="Calibri Light" w:hAnsi="Calibri Light"/>
      <w:b/>
      <w:bCs/>
      <w:kern w:val="28"/>
      <w:sz w:val="32"/>
      <w:szCs w:val="32"/>
    </w:rPr>
  </w:style>
  <w:style w:type="table" w:styleId="6">
    <w:name w:val="Table Grid"/>
    <w:basedOn w:val="5"/>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8">
    <w:name w:val="List Paragraph"/>
    <w:basedOn w:val="1"/>
    <w:qFormat/>
    <w:uiPriority w:val="0"/>
    <w:pPr>
      <w:ind w:firstLine="420" w:firstLineChars="200"/>
    </w:pPr>
  </w:style>
  <w:style w:type="paragraph" w:customStyle="1" w:styleId="9">
    <w:name w:val="Revision"/>
    <w:hidden/>
    <w:semiHidden/>
    <w:qFormat/>
    <w:uiPriority w:val="99"/>
    <w:rPr>
      <w:rFonts w:ascii="Calibri" w:hAnsi="Calibri" w:eastAsia="宋体" w:cs="Times New Roman"/>
      <w:kern w:val="2"/>
      <w:sz w:val="21"/>
      <w:szCs w:val="24"/>
      <w:lang w:val="en-US" w:eastAsia="zh-CN" w:bidi="ar-SA"/>
    </w:rPr>
  </w:style>
  <w:style w:type="character" w:customStyle="1" w:styleId="10">
    <w:name w:val="页眉 字符"/>
    <w:basedOn w:val="7"/>
    <w:link w:val="3"/>
    <w:qFormat/>
    <w:uiPriority w:val="0"/>
    <w:rPr>
      <w:kern w:val="2"/>
      <w:sz w:val="18"/>
      <w:szCs w:val="18"/>
    </w:rPr>
  </w:style>
  <w:style w:type="character" w:customStyle="1" w:styleId="11">
    <w:name w:val="页脚 字符"/>
    <w:basedOn w:val="7"/>
    <w:link w:val="2"/>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2126</Words>
  <Characters>2261</Characters>
  <Lines>16</Lines>
  <Paragraphs>4</Paragraphs>
  <TotalTime>17</TotalTime>
  <ScaleCrop>false</ScaleCrop>
  <LinksUpToDate>false</LinksUpToDate>
  <CharactersWithSpaces>2283</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2023-03-07T13:22:00Z</dcterms:created>
  <dc:creator>yoyo</dc:creator>
  <cp:lastModifiedBy>迪</cp:lastModifiedBy>
  <dcterms:modified xsi:type="dcterms:W3CDTF">2023-05-05T00:33:02Z</dcterms:modified>
  <dc:title>附件2</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96A50C26586C45D18B9423EC45320B8C</vt:lpwstr>
  </property>
</Properties>
</file>