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F519F8">
      <w:pPr>
        <w:pStyle w:val="3"/>
        <w:numPr>
          <w:ilvl w:val="0"/>
          <w:numId w:val="0"/>
        </w:numPr>
        <w:spacing w:line="360" w:lineRule="auto"/>
        <w:jc w:val="left"/>
        <w:rPr>
          <w:rFonts w:hint="eastAsia" w:ascii="方正小标宋简体" w:hAnsi="方正小标宋简体" w:eastAsia="方正小标宋简体" w:cs="方正小标宋简体"/>
          <w:b w:val="0"/>
          <w:bCs w:val="0"/>
          <w:sz w:val="32"/>
          <w:szCs w:val="32"/>
          <w:lang w:val="en-US" w:eastAsia="zh-CN"/>
        </w:rPr>
      </w:pPr>
      <w:bookmarkStart w:id="0" w:name="_GoBack"/>
      <w:bookmarkEnd w:id="0"/>
      <w:r>
        <w:rPr>
          <w:rFonts w:hint="eastAsia" w:ascii="方正小标宋简体" w:hAnsi="方正小标宋简体" w:eastAsia="方正小标宋简体" w:cs="方正小标宋简体"/>
          <w:b w:val="0"/>
          <w:bCs w:val="0"/>
          <w:sz w:val="32"/>
          <w:szCs w:val="32"/>
          <w:lang w:val="en-US" w:eastAsia="zh-CN"/>
        </w:rPr>
        <w:t>附件1</w:t>
      </w:r>
    </w:p>
    <w:p w14:paraId="5A4961A6">
      <w:pPr>
        <w:pStyle w:val="3"/>
        <w:numPr>
          <w:ilvl w:val="0"/>
          <w:numId w:val="0"/>
        </w:numPr>
        <w:spacing w:line="360" w:lineRule="auto"/>
        <w:jc w:val="center"/>
        <w:rPr>
          <w:rFonts w:hint="eastAsia" w:ascii="方正小标宋简体" w:hAnsi="方正小标宋简体" w:eastAsia="方正小标宋简体" w:cs="方正小标宋简体"/>
          <w:b w:val="0"/>
          <w:bCs w:val="0"/>
          <w:sz w:val="32"/>
          <w:szCs w:val="32"/>
          <w:lang w:val="en-US" w:eastAsia="zh-CN"/>
        </w:rPr>
      </w:pPr>
      <w:r>
        <w:rPr>
          <w:rFonts w:hint="eastAsia" w:ascii="方正小标宋简体" w:hAnsi="方正小标宋简体" w:eastAsia="方正小标宋简体" w:cs="方正小标宋简体"/>
          <w:b w:val="0"/>
          <w:bCs w:val="0"/>
          <w:sz w:val="32"/>
          <w:szCs w:val="32"/>
          <w:lang w:val="en-US" w:eastAsia="zh-CN"/>
        </w:rPr>
        <w:t>采购项目需求</w:t>
      </w:r>
    </w:p>
    <w:p w14:paraId="6EE9E5E3">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一、采购范围：省结核病控制中心重大传染病（结核病）信息管理平台升级和运维运营（2024年）项目监理服务</w:t>
      </w:r>
    </w:p>
    <w:p w14:paraId="2777665C">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二、项目规模：监理服务对象为省结核病控制中心重大传染病（结核病）信息管理平台升级和运维运营（2024年）项目，其规模预算为人民币189.68万元。</w:t>
      </w:r>
    </w:p>
    <w:p w14:paraId="3742D5D9">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三、监理费控制价：</w:t>
      </w:r>
      <w:r>
        <w:rPr>
          <w:rFonts w:hint="eastAsia" w:ascii="仿宋_GB2312" w:hAnsi="仿宋_GB2312" w:eastAsia="仿宋_GB2312" w:cs="仿宋_GB2312"/>
          <w:szCs w:val="21"/>
          <w:lang w:val="en-US" w:eastAsia="zh-CN"/>
        </w:rPr>
        <w:t>暂不做评估和测算</w:t>
      </w:r>
      <w:r>
        <w:rPr>
          <w:rFonts w:hint="eastAsia" w:ascii="仿宋_GB2312" w:hAnsi="仿宋_GB2312" w:eastAsia="仿宋_GB2312" w:cs="仿宋_GB2312"/>
          <w:szCs w:val="21"/>
        </w:rPr>
        <w:t>。由各报名企业按照粤财行〔2019〕82号：关于印发《省级政务信息化服务预算编制规范和标准（试行）》的通知等相关文件规定，并按一定的下浮率进行报价。</w:t>
      </w:r>
    </w:p>
    <w:p w14:paraId="3D913CD1">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四、项目工期：自合同签订生效之日起至项目通过最终验收之日止。</w:t>
      </w:r>
    </w:p>
    <w:p w14:paraId="4ABE9715">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五、项目监理服务需求</w:t>
      </w:r>
    </w:p>
    <w:p w14:paraId="46F805D4">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（一）监理服务的范围</w:t>
      </w:r>
    </w:p>
    <w:p w14:paraId="178942A8">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根据项目相关要求，主要服务范围：提供项目实施建设全过程监理服务。</w:t>
      </w:r>
    </w:p>
    <w:p w14:paraId="4FDAAF8D">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（二）工作目标</w:t>
      </w:r>
    </w:p>
    <w:p w14:paraId="5E697C82">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监理公司必须依照信部信[2002]570号《信息系统工程监理暂行规定》与相关标准和法律法规及建设方的需求，本着科学、公正、严格、守信、守纪、守法的原则，以高度的责任心、丰富的项目管理和专业技术经验，对省结核病控制中心重大传染病（结核病）信息管理平台升级和运维运营（2024年）项目实施全面的、有重点的、精线条的监督管理，应根据项目的具体情况，制定各个阶段详细的监理工作目标、监理工作依据、监理工作制度，协助完成项目功能需求，并受建设方委托负责审核建设承包合同条款、控制工程进度和质量、进行成本核算，按期分段对工程验收，保证工程按期、高质量地完成，最终提交建设方满意的成果。具体分解为如下目标：</w:t>
      </w:r>
    </w:p>
    <w:p w14:paraId="24542F79">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质量目标：符合立项方案和项目合同的有关技术标准和规范，满足广东省政务服务数据管理局政务信息化项目管理办法和建设方的相关要求，严格按照项目质量管理体系进行监督、检查和验收。</w:t>
      </w:r>
    </w:p>
    <w:p w14:paraId="425533A5">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进度目标：按本项目招投标文件规定时间前建设完成并投入使用。</w:t>
      </w:r>
    </w:p>
    <w:p w14:paraId="578593DB">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合同和项目管理目标：对项目的合同、各种管理文档以及项目的管理提供可靠的审核和质量保证。</w:t>
      </w:r>
    </w:p>
    <w:p w14:paraId="1EA7F7FA">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（三）服务要求</w:t>
      </w:r>
    </w:p>
    <w:p w14:paraId="26C325D3">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必须坚持以“质量第一，预防为主，用科学、规范、诚信”作为服务原则，提供项目的全过程管理服务和技术咨询服务。</w:t>
      </w:r>
    </w:p>
    <w:p w14:paraId="791190AC">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（四）服务方式</w:t>
      </w:r>
    </w:p>
    <w:p w14:paraId="02C93B5D">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本服务项目要求以现场工作为主的方式进行，中标人应派总监理工程师和监理工程师建立项目组，负责整个工程的全程监理服务工作。</w:t>
      </w:r>
    </w:p>
    <w:p w14:paraId="6E4EC488">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（五）工作内容</w:t>
      </w:r>
    </w:p>
    <w:p w14:paraId="3905A7DF">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根据项目相关要求，监理方主要工作应包括但不仅限于以下内容:（1）项目启动；（2）实施进度控制；（3）项目需求确认；（4）系统设计管理；（5）实施质量控制；（6）确认阶段服务成果；（7）范围管理；（8）风险管理；（9）组织培训管理；（10）技术文档管理；（11）系统安全管理；（12）知识产权管理；（13）部署上线确认；（14）服务运行监督；（15）第三方测评管理；（16）考核管理；（17）项目最终验收。具体如下：</w:t>
      </w:r>
    </w:p>
    <w:p w14:paraId="65DFEA3C">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1.项目整体组织及实施方案的总体把关</w:t>
      </w:r>
    </w:p>
    <w:p w14:paraId="2C77A4A0">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 xml:space="preserve">（1）审核和确认承建单位的实施人员组织和实施计划安排； </w:t>
      </w:r>
    </w:p>
    <w:p w14:paraId="530AD9D4">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 xml:space="preserve">（2）审核和确认承建单位的质量保证计划； </w:t>
      </w:r>
    </w:p>
    <w:p w14:paraId="1661DE68">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（3）审核和确认承建单位的进度控制计划。</w:t>
      </w:r>
    </w:p>
    <w:p w14:paraId="561D5195">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2.质量控制</w:t>
      </w:r>
    </w:p>
    <w:p w14:paraId="096C86F0">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（1）系统集成质量的控制</w:t>
      </w:r>
    </w:p>
    <w:p w14:paraId="3D1EBD2A">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1）依据合同要求和有关技术标准，审查、监督、控制本工程设备采购及设备安装的质量；</w:t>
      </w:r>
    </w:p>
    <w:p w14:paraId="0FB2C019">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2）采取事前预防、事中控制、事后纠正的方式，依据国家法律、法规、标准以及项目合同、设计方案、实施规划、实施细则等文件控制工程质量；每月按项目对各项目文档进行查阅审核，提供监理简报，对各项目进行量化考评并排出名次，提出各项目工作的改进意见；</w:t>
      </w:r>
    </w:p>
    <w:p w14:paraId="619B7695">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3）协助采购人进行实施方案的审核和确认；</w:t>
      </w:r>
    </w:p>
    <w:p w14:paraId="1612C769">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4）协助采购人审核系统软件和硬件设施选型；</w:t>
      </w:r>
    </w:p>
    <w:p w14:paraId="04EB3997">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5）对采购的软硬件设施、链路租赁的质量进行检验、测试和验收审核；</w:t>
      </w:r>
    </w:p>
    <w:p w14:paraId="4C1BD234">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6）对设备的安装调试进行验收审核；</w:t>
      </w:r>
    </w:p>
    <w:p w14:paraId="7FEED3C3">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7）根据工程的特点，制定工程的验收标准，验收方法。</w:t>
      </w:r>
    </w:p>
    <w:p w14:paraId="3063ED45">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（2）技术培训质量的控制</w:t>
      </w:r>
    </w:p>
    <w:p w14:paraId="6714F61E">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1）审核确认承建单位的培训计划；</w:t>
      </w:r>
    </w:p>
    <w:p w14:paraId="55F4378F">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 xml:space="preserve">2）监督承建单位实施培训计划，并征求采购人的反馈意见； </w:t>
      </w:r>
    </w:p>
    <w:p w14:paraId="3F261AD8">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3）审核确认承建单位的培训总结报告。</w:t>
      </w:r>
    </w:p>
    <w:p w14:paraId="1A550EFD">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3.进度控制</w:t>
      </w:r>
    </w:p>
    <w:p w14:paraId="7BE413E6">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 xml:space="preserve">（1）审核承建单位的进度分解计划，确认分解计划可以保证总体计划目标，监督检查项目进度执行情况； </w:t>
      </w:r>
    </w:p>
    <w:p w14:paraId="048CB252">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 xml:space="preserve">（2）对项目实施进度进行实时跟踪，并要求承建单位对进度计划进行动态调整，以确保项目的阶段和总体进度目标的实施； </w:t>
      </w:r>
    </w:p>
    <w:p w14:paraId="4F6D78EE">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 xml:space="preserve">（3）当工期严重偏离计划时，应及时指出，并提出对策建议，同时督促承建单位尽快采取措施； </w:t>
      </w:r>
    </w:p>
    <w:p w14:paraId="2D24592C">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 xml:space="preserve">（4）采用先进的项目管理工具，控制项目施工进度。 </w:t>
      </w:r>
    </w:p>
    <w:p w14:paraId="25AE26B8">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 xml:space="preserve">4.项目投资的控制 </w:t>
      </w:r>
    </w:p>
    <w:p w14:paraId="7092AFDA">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 xml:space="preserve">（1）通过对项目实施方案的优化，确保投资控制在合理、性价比高的范围内； </w:t>
      </w:r>
    </w:p>
    <w:p w14:paraId="1392FD2B">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（2）当发现资金使用严重偏离计划时，应及时指出，并提出对策建议，同时督促承建单位尽快采取措施。</w:t>
      </w:r>
    </w:p>
    <w:p w14:paraId="2851CF48">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 xml:space="preserve">5.合同管理 </w:t>
      </w:r>
    </w:p>
    <w:p w14:paraId="6BC5CE00">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 xml:space="preserve">（1）协助采购人签订合同； </w:t>
      </w:r>
    </w:p>
    <w:p w14:paraId="3D5AB766">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 xml:space="preserve">（2）跟踪检查合同的执行情况，确保承建单位按时履约； </w:t>
      </w:r>
    </w:p>
    <w:p w14:paraId="39DDFD3D">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 xml:space="preserve">（3）对合同工期的延误和延期进行解释，协助采购人处理项目实施的每个过程出现的合同变更、违约、索赔、延期、分包、纠纷调解及仲裁、诉讼等问题； </w:t>
      </w:r>
    </w:p>
    <w:p w14:paraId="59FCCE87">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 xml:space="preserve">（4）根据合同约定，对承建单位提交的付款申请，提出付款建议及意见。 </w:t>
      </w:r>
    </w:p>
    <w:p w14:paraId="5815DB6F">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 xml:space="preserve">6.项目信息管理 </w:t>
      </w:r>
    </w:p>
    <w:p w14:paraId="6CFF4C0C">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 xml:space="preserve">（1）及时向采购人提交反映项目动态和监理工作情况的项目文档； </w:t>
      </w:r>
    </w:p>
    <w:p w14:paraId="4FC2624E">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（2）建立全面、准确反映项目各阶段工程状况的图表、文档，收集、管理项目各类文档和资料；</w:t>
      </w:r>
    </w:p>
    <w:p w14:paraId="286669AF">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 xml:space="preserve">（3）督促、检查集成商及时完成各阶段设备资料、工程技术资料的整理和归档工作； </w:t>
      </w:r>
    </w:p>
    <w:p w14:paraId="0471051A">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 xml:space="preserve">（4）转发采购人发出的一切指示、通知和业务联系单。 </w:t>
      </w:r>
    </w:p>
    <w:p w14:paraId="531239C5">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 xml:space="preserve">7.项目文件的管理 </w:t>
      </w:r>
    </w:p>
    <w:p w14:paraId="705FC0D2">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 xml:space="preserve">（1）监理方应负责以下文档的编写： </w:t>
      </w:r>
    </w:p>
    <w:p w14:paraId="06E808B9">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 xml:space="preserve">1）项目建设工作日记、周报、月报及项目大事记； </w:t>
      </w:r>
    </w:p>
    <w:p w14:paraId="24EB0B0E">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 xml:space="preserve">2）项目协调会、技术研讨会等各类会议的纪要； </w:t>
      </w:r>
    </w:p>
    <w:p w14:paraId="4D6D20A6">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3）阶段性项目总结、阶段性项目监理总结、各类监理通知。</w:t>
      </w:r>
    </w:p>
    <w:p w14:paraId="753D291C">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 xml:space="preserve">（2）应参与以下文档的管理： </w:t>
      </w:r>
    </w:p>
    <w:p w14:paraId="3035BA78">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 xml:space="preserve">1）项目实施期间各类技术文件； </w:t>
      </w:r>
    </w:p>
    <w:p w14:paraId="533B0A0B">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2）合同执行过程中的各类往来文件及存档。</w:t>
      </w:r>
    </w:p>
    <w:p w14:paraId="6FA6703E">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 xml:space="preserve">8.项目安全的管理 </w:t>
      </w:r>
    </w:p>
    <w:p w14:paraId="7C04B02F">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 xml:space="preserve">（1）负责监督项目建设过程中所涉及的政府数据和资料的安全保护，保证不被非授权使用； </w:t>
      </w:r>
    </w:p>
    <w:p w14:paraId="3588D0D0">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（2）负责项目建设施工过程中安全控制，确保不出现安全事故。</w:t>
      </w:r>
    </w:p>
    <w:p w14:paraId="61B80BA3">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 xml:space="preserve">9.知识产权的管理 </w:t>
      </w:r>
    </w:p>
    <w:p w14:paraId="5A66E1E3">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（1）负责项目建设施工过程中所产生成果的知识产权保护，保证不被非授权使用。</w:t>
      </w:r>
    </w:p>
    <w:p w14:paraId="1CDFE435">
      <w:pPr>
        <w:pStyle w:val="14"/>
        <w:spacing w:line="560" w:lineRule="exact"/>
        <w:ind w:firstLine="420" w:firstLineChars="200"/>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eastAsia="zh-CN"/>
        </w:rPr>
        <w:t>（</w:t>
      </w:r>
      <w:r>
        <w:rPr>
          <w:rFonts w:hint="eastAsia" w:ascii="仿宋_GB2312" w:hAnsi="仿宋_GB2312" w:eastAsia="仿宋_GB2312" w:cs="仿宋_GB2312"/>
          <w:szCs w:val="21"/>
          <w:lang w:val="en-US" w:eastAsia="zh-CN"/>
        </w:rPr>
        <w:t>2</w:t>
      </w:r>
      <w:r>
        <w:rPr>
          <w:rFonts w:hint="eastAsia" w:ascii="仿宋_GB2312" w:hAnsi="仿宋_GB2312" w:eastAsia="仿宋_GB2312" w:cs="仿宋_GB2312"/>
          <w:szCs w:val="21"/>
          <w:lang w:eastAsia="zh-CN"/>
        </w:rPr>
        <w:t>）</w:t>
      </w:r>
      <w:r>
        <w:rPr>
          <w:rFonts w:hint="eastAsia" w:ascii="仿宋_GB2312" w:hAnsi="仿宋_GB2312" w:eastAsia="仿宋_GB2312" w:cs="仿宋_GB2312"/>
          <w:szCs w:val="21"/>
          <w:lang w:val="en-US" w:eastAsia="zh-CN"/>
        </w:rPr>
        <w:t>负责项目建设所产生成果的知识产权核查，确保项目验收前完成项目成果和知识产权的移交。</w:t>
      </w:r>
    </w:p>
    <w:p w14:paraId="0A2E9A81">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 xml:space="preserve">10.项目会议制度 </w:t>
      </w:r>
    </w:p>
    <w:p w14:paraId="42D855BB">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 xml:space="preserve">为保证工作的开展和实施协调，可组织必要的会议来保证： </w:t>
      </w:r>
    </w:p>
    <w:p w14:paraId="33551ACC">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 xml:space="preserve">（1）项目协调会； </w:t>
      </w:r>
    </w:p>
    <w:p w14:paraId="2DDF7071">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 xml:space="preserve">（2）项目周例会； </w:t>
      </w:r>
    </w:p>
    <w:p w14:paraId="153DE5AB">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 xml:space="preserve">（3）项目专题研讨会； </w:t>
      </w:r>
    </w:p>
    <w:p w14:paraId="74DC7A73">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 xml:space="preserve">（4）项目问题通报会； </w:t>
      </w:r>
    </w:p>
    <w:p w14:paraId="77C913B1">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 xml:space="preserve">（5）项目阶段及最终验收会。 </w:t>
      </w:r>
    </w:p>
    <w:p w14:paraId="71CD7BD7">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 xml:space="preserve">11.监理方还应积极参加以下会议： </w:t>
      </w:r>
    </w:p>
    <w:p w14:paraId="4A87837B">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 xml:space="preserve">（1）项目专家论证评审会； </w:t>
      </w:r>
    </w:p>
    <w:p w14:paraId="76F1CCE3">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 xml:space="preserve">（2）项目阶段工作总结会。 </w:t>
      </w:r>
    </w:p>
    <w:p w14:paraId="794217BF">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 xml:space="preserve">12.组织协调 </w:t>
      </w:r>
    </w:p>
    <w:p w14:paraId="58284DE3">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 xml:space="preserve">（1）监督各方履行职责，协调各方的工作关系。 </w:t>
      </w:r>
    </w:p>
    <w:p w14:paraId="2880C53C">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（2）建立畅通的沟通平台和沟通渠道，采取有效措施使项目信息在有关各方之间保持顺畅流通，积极协调项目各方之间的关系，推动项目实施过程中问题的解决。</w:t>
      </w:r>
    </w:p>
    <w:p w14:paraId="1DD65CA3">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（3）确立项目安全监督的工作目标。</w:t>
      </w:r>
    </w:p>
    <w:p w14:paraId="77D4F030">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（六）工作要求</w:t>
      </w:r>
    </w:p>
    <w:p w14:paraId="16BBB772">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 xml:space="preserve">必须提供对项目进行全过程的高质量管理及技术服务。全过程管理服务指：协助预算的审核、技术选型、辅助招标、项目签订合同、开工启动开始至项目竣工通过验收为止，针对项目的要求和特点，向采购人提供具有特色的管理服务。中标人应配备相应资质人员完成以下服务，主要内容包括： </w:t>
      </w:r>
    </w:p>
    <w:p w14:paraId="7AC03623">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 xml:space="preserve">1.协助采购人规范招标采购流程； </w:t>
      </w:r>
    </w:p>
    <w:p w14:paraId="5D9D3646">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 xml:space="preserve">2.协助采购人与中标的承建方或产品供应商签订符合招标文件要求的合同； </w:t>
      </w:r>
    </w:p>
    <w:p w14:paraId="5D298480">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 xml:space="preserve">3.督促双方做好开工前的准备工作； </w:t>
      </w:r>
    </w:p>
    <w:p w14:paraId="181237F6">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 xml:space="preserve">4.对建设全过程实施监理； </w:t>
      </w:r>
    </w:p>
    <w:p w14:paraId="67B7BFC5">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 xml:space="preserve">5.对其核心工程实施重点监理； </w:t>
      </w:r>
    </w:p>
    <w:p w14:paraId="03ADD599">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 xml:space="preserve">6.配备设备监理师对本项目承建方提供的材料、设备性能指标及产品厂家供货证明函等进行严格审核，列入《中华人民共和国实施强制性产品认证的产品目录》的产品需审核CCC认证函和产品外部加施的认证标志； </w:t>
      </w:r>
    </w:p>
    <w:p w14:paraId="7E6D4EB8">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 xml:space="preserve">7.配备设备监理师对承建方采购的设备、材料按合同规定的标准进行检验验收； </w:t>
      </w:r>
    </w:p>
    <w:p w14:paraId="64EE34F1">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 xml:space="preserve">8.配备软件测试工程师（高级）对其施工方案等进行审核及测试验证，对其工程质量进行跟踪控制，对项目验收出具监理报告； </w:t>
      </w:r>
    </w:p>
    <w:p w14:paraId="782E8DD5">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9.配备安全防范设计评估师，评估项目信息、技术、施工安全风险，并协助采购人从严管理信息、技术、施工安全工作；</w:t>
      </w:r>
    </w:p>
    <w:p w14:paraId="6006324F">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 xml:space="preserve">10.配备IT审计师对本项目的资金使用情况进行监控，严格控制本项目变更部分的成本，并出具IT审计报告； </w:t>
      </w:r>
    </w:p>
    <w:p w14:paraId="3B3C6215">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 xml:space="preserve">11.对确需变更原设计方案的，提出审查意见，获批准后，监督执行； </w:t>
      </w:r>
    </w:p>
    <w:p w14:paraId="78119511">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 xml:space="preserve">12.审查项目系统及竣工文件的齐全性、完整性，督促、检查工程竣工文档的移交； </w:t>
      </w:r>
    </w:p>
    <w:p w14:paraId="76128D50">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13.配备咨询工程师根据采购方对需求的改变，能够结合工程合理地提出建议方案，并实现与承建方的良好沟通；</w:t>
      </w:r>
    </w:p>
    <w:p w14:paraId="443CAB2D">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 xml:space="preserve">14.检查、督促施工工程进度； </w:t>
      </w:r>
    </w:p>
    <w:p w14:paraId="772FEC4B">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 xml:space="preserve">15.组织、督促、检查本项目工程的总体竣工验收； </w:t>
      </w:r>
    </w:p>
    <w:p w14:paraId="43A1144B">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 xml:space="preserve">16.监督检查本项目承建方对培训、售后及运营运维服务工作的承诺、措施与落实； </w:t>
      </w:r>
    </w:p>
    <w:p w14:paraId="2FAF0447">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 xml:space="preserve">17.整理和检查全部文档； </w:t>
      </w:r>
    </w:p>
    <w:p w14:paraId="58CF8DE3">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18.监理方须制定完整的监理安全保密体系，确定工程保密责任人，企业及人员应具备相应的安全保密认证或备案（例如：ISO 27001、CISP等），配备注册信息安全专业人员等；</w:t>
      </w:r>
    </w:p>
    <w:p w14:paraId="12ACAFDC">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19.配备项目管理相关的系统、软件、辅助工具；</w:t>
      </w:r>
    </w:p>
    <w:p w14:paraId="460587AE">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 xml:space="preserve">20.按照国家、省、市的有关法规文件规定，要求履行安全保密责任，并与采购人签订保密协议； </w:t>
      </w:r>
    </w:p>
    <w:p w14:paraId="451F6CCB">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 xml:space="preserve">21.各级组织严格履行安全保密职责； </w:t>
      </w:r>
    </w:p>
    <w:p w14:paraId="4052D637">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22.按照安全保密规定开展工作；</w:t>
      </w:r>
    </w:p>
    <w:p w14:paraId="67A080E4">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23.项目监理服务过程中，做好记录并协助采购人管理资料，包括但不仅限于以下内容：会议记录、会议纪要、报告。</w:t>
      </w:r>
    </w:p>
    <w:p w14:paraId="31438A10">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（七）执业/职业人员要求</w:t>
      </w:r>
    </w:p>
    <w:p w14:paraId="6E53E260">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1.监理机构及人员的要求</w:t>
      </w:r>
    </w:p>
    <w:p w14:paraId="5E957F29">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项目的中标人应组建项目监理机构，配备不少于2人的监理组，其中1人为总监理工程师，1人为现场工程师，该工程监理机构必须满足以下要求：</w:t>
      </w:r>
    </w:p>
    <w:p w14:paraId="2E3408BB">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（1）实行总监理工程师负责制，对项目重大决策提出建议和意见。</w:t>
      </w:r>
    </w:p>
    <w:p w14:paraId="0CF4D9D4">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（2）项目监理要求以现场监理为主要方式进行。</w:t>
      </w:r>
    </w:p>
    <w:p w14:paraId="7C716362">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（3）总监理工程师和监理工程师必须具备与本项目类似的工作经验。</w:t>
      </w:r>
    </w:p>
    <w:p w14:paraId="68B50127">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2.对总监理工程师的要求</w:t>
      </w:r>
    </w:p>
    <w:p w14:paraId="0B129D21">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（1）具有信息系统监理师证书；</w:t>
      </w:r>
    </w:p>
    <w:p w14:paraId="6BCD89C3">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（2）近三年承担过3个以上信息系统工程项目的总监理工程师，至少有一个信息系统工程项目超过100万元。</w:t>
      </w:r>
    </w:p>
    <w:p w14:paraId="0DEB7361">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3.对监理工程师的要求</w:t>
      </w:r>
    </w:p>
    <w:p w14:paraId="50ABD980">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现场监理工程师：1人，具有信息系统监理师证书。</w:t>
      </w:r>
    </w:p>
    <w:p w14:paraId="582912FB">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4.监理变更管理</w:t>
      </w:r>
    </w:p>
    <w:p w14:paraId="13DA0C9F">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 xml:space="preserve">(1)若监理团队出现不符合合同约定的资质要求，或监理服务质量未达到合同规定的标准，采购人有权要求监理方在收到通知后7个工作日内更换不合格的监理人员。 </w:t>
      </w:r>
    </w:p>
    <w:p w14:paraId="2309AF08">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(2)本项目监理组人员应固定。特殊情况下，监理方确需更换监理人员时，必须提前3个工作日书面通知甲方，并提供拟更换人员的资质证明和相关经验介绍。未经采购人书面同意，监理方不得擅自更换监理人员。如监理方违反此条款，采购人有权要求监理方支付违约金。</w:t>
      </w:r>
    </w:p>
    <w:p w14:paraId="46309C02">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（八）监理服务应遵守的基本准则</w:t>
      </w:r>
    </w:p>
    <w:p w14:paraId="7155400B">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遵照国家信息产业部《信息系统项目监理暂行规定》(信部信[2002]570号)的规定，以“守法、诚信、公正、科学”的准则执业，维护采购人和承建单位的合法权益。工程监理应做到：</w:t>
      </w:r>
    </w:p>
    <w:p w14:paraId="6F755AA6">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1.投标人必须承诺严格遵守信息产业部颁发的《信息系统工程监理暂行规定》（信部信〔2002〕570号），没有承接过本项目的工程建设。</w:t>
      </w:r>
    </w:p>
    <w:p w14:paraId="390C4958">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2.执行有关项目建设的国家法律、法规、规范、标准和制度，履行监理合同规定的义务和职责；</w:t>
      </w:r>
    </w:p>
    <w:p w14:paraId="3AA8A04F">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3.不得收受被监理单位的任何礼金；</w:t>
      </w:r>
    </w:p>
    <w:p w14:paraId="78134545">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4.不得泄漏所监理项目各方认为需要保密的事项；</w:t>
      </w:r>
    </w:p>
    <w:p w14:paraId="0EF2F9E8">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5.遵守国家的法律和政府的有关条例、规定和办法等；</w:t>
      </w:r>
    </w:p>
    <w:p w14:paraId="4BF06262">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6.坚持公正、公平、公开、独立地处理有关项目各方的争议；</w:t>
      </w:r>
    </w:p>
    <w:p w14:paraId="3F33580F">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7.坚持科学的态度和实事求是的原则。</w:t>
      </w:r>
    </w:p>
    <w:p w14:paraId="16DE9B2C">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8.本项目不得分包、转包本监理服务的。</w:t>
      </w:r>
    </w:p>
    <w:p w14:paraId="398E6768">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六、付款方式</w:t>
      </w:r>
    </w:p>
    <w:p w14:paraId="64E0B71F">
      <w:pPr>
        <w:pStyle w:val="14"/>
        <w:spacing w:line="560" w:lineRule="exact"/>
        <w:ind w:firstLine="420" w:firstLineChars="200"/>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一）本项目采用银行托管方式进行资金支付。在合同签订10个工作日内，中标人按照合同向采购人提供根据合同约定金额开具符合国家有关财税规定的合法、有效的发票以及合同总额10%的履约保证金（中小企业履约保证金为合同金额的5%），采购人启动款项支付流程，将合同总金额全部转入双方认可的第三方银行托管。中标人根据项目进展情况情况，分二期支付，具体支付方式和时间如下：</w:t>
      </w:r>
    </w:p>
    <w:p w14:paraId="151775BA">
      <w:pPr>
        <w:pStyle w:val="14"/>
        <w:spacing w:line="560" w:lineRule="exact"/>
        <w:ind w:firstLine="420" w:firstLineChars="200"/>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一期：支付比例30%。在合同签订后5个工作日内，中标人书面向采购人提出请款申请，支付合同总金额的40%，采购人于15个工作日内办理，要求托管银行支付该笔款项的手续。</w:t>
      </w:r>
    </w:p>
    <w:p w14:paraId="5DD7DEAF">
      <w:pPr>
        <w:pStyle w:val="14"/>
        <w:spacing w:line="560" w:lineRule="exact"/>
        <w:ind w:firstLine="420" w:firstLineChars="200"/>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二期：支付比例70%。项目通过采购人组织的验收后</w:t>
      </w:r>
      <w:r>
        <w:rPr>
          <w:rFonts w:hint="default" w:ascii="仿宋_GB2312" w:hAnsi="仿宋_GB2312" w:eastAsia="仿宋_GB2312" w:cs="仿宋_GB2312"/>
          <w:szCs w:val="21"/>
          <w:lang w:val="en-US" w:eastAsia="zh-CN"/>
        </w:rPr>
        <w:t>10个工作日内，</w:t>
      </w:r>
      <w:r>
        <w:rPr>
          <w:rFonts w:hint="eastAsia" w:ascii="仿宋_GB2312" w:hAnsi="仿宋_GB2312" w:eastAsia="仿宋_GB2312" w:cs="仿宋_GB2312"/>
          <w:szCs w:val="21"/>
          <w:lang w:val="en-US" w:eastAsia="zh-CN"/>
        </w:rPr>
        <w:t>中标人书面向采购人提出请款申请，采购人于15个工作日内办理，要求托管银行支付该笔款项的手续。</w:t>
      </w:r>
    </w:p>
    <w:p w14:paraId="207A4008">
      <w:pPr>
        <w:pStyle w:val="14"/>
        <w:spacing w:line="560" w:lineRule="exact"/>
        <w:ind w:firstLine="420" w:firstLineChars="200"/>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val="en-US" w:eastAsia="zh-CN"/>
        </w:rPr>
        <w:t>（二）履约保证金</w:t>
      </w:r>
      <w:r>
        <w:rPr>
          <w:rFonts w:hint="eastAsia" w:ascii="仿宋_GB2312" w:hAnsi="仿宋_GB2312" w:eastAsia="仿宋_GB2312" w:cs="仿宋_GB2312"/>
          <w:szCs w:val="21"/>
        </w:rPr>
        <w:t>用于</w:t>
      </w:r>
      <w:r>
        <w:rPr>
          <w:rFonts w:hint="eastAsia" w:ascii="仿宋_GB2312" w:hAnsi="仿宋_GB2312" w:eastAsia="仿宋_GB2312" w:cs="仿宋_GB2312"/>
          <w:szCs w:val="21"/>
          <w:lang w:val="en-US" w:eastAsia="zh-CN"/>
        </w:rPr>
        <w:t>担保中标人</w:t>
      </w:r>
      <w:r>
        <w:rPr>
          <w:rFonts w:hint="eastAsia" w:ascii="仿宋_GB2312" w:hAnsi="仿宋_GB2312" w:eastAsia="仿宋_GB2312" w:cs="仿宋_GB2312"/>
          <w:szCs w:val="21"/>
        </w:rPr>
        <w:t>全面履行本合同项下义务</w:t>
      </w:r>
      <w:r>
        <w:rPr>
          <w:rFonts w:hint="eastAsia" w:ascii="仿宋_GB2312" w:hAnsi="仿宋_GB2312" w:eastAsia="仿宋_GB2312" w:cs="仿宋_GB2312"/>
          <w:szCs w:val="21"/>
          <w:lang w:eastAsia="zh-CN"/>
        </w:rPr>
        <w:t>：</w:t>
      </w:r>
    </w:p>
    <w:p w14:paraId="77E8E02C">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1.</w:t>
      </w:r>
      <w:r>
        <w:rPr>
          <w:rFonts w:hint="eastAsia" w:ascii="仿宋_GB2312" w:hAnsi="仿宋_GB2312" w:eastAsia="仿宋_GB2312" w:cs="仿宋_GB2312"/>
          <w:szCs w:val="21"/>
        </w:rPr>
        <w:t>若</w:t>
      </w:r>
      <w:r>
        <w:rPr>
          <w:rFonts w:hint="eastAsia" w:ascii="仿宋_GB2312" w:hAnsi="仿宋_GB2312" w:eastAsia="仿宋_GB2312" w:cs="仿宋_GB2312"/>
          <w:szCs w:val="21"/>
          <w:lang w:val="en-US" w:eastAsia="zh-CN"/>
        </w:rPr>
        <w:t>中标人</w:t>
      </w:r>
      <w:r>
        <w:rPr>
          <w:rFonts w:hint="eastAsia" w:ascii="仿宋_GB2312" w:hAnsi="仿宋_GB2312" w:eastAsia="仿宋_GB2312" w:cs="仿宋_GB2312"/>
          <w:szCs w:val="21"/>
        </w:rPr>
        <w:t>发生违约行为或造成</w:t>
      </w:r>
      <w:r>
        <w:rPr>
          <w:rFonts w:hint="eastAsia" w:ascii="仿宋_GB2312" w:hAnsi="仿宋_GB2312" w:eastAsia="仿宋_GB2312" w:cs="仿宋_GB2312"/>
          <w:szCs w:val="21"/>
          <w:lang w:val="en-US" w:eastAsia="zh-CN"/>
        </w:rPr>
        <w:t>采购人</w:t>
      </w:r>
      <w:r>
        <w:rPr>
          <w:rFonts w:hint="eastAsia" w:ascii="仿宋_GB2312" w:hAnsi="仿宋_GB2312" w:eastAsia="仿宋_GB2312" w:cs="仿宋_GB2312"/>
          <w:szCs w:val="21"/>
        </w:rPr>
        <w:t>损失，</w:t>
      </w:r>
      <w:r>
        <w:rPr>
          <w:rFonts w:hint="eastAsia" w:ascii="仿宋_GB2312" w:hAnsi="仿宋_GB2312" w:eastAsia="仿宋_GB2312" w:cs="仿宋_GB2312"/>
          <w:szCs w:val="21"/>
          <w:lang w:val="en-US" w:eastAsia="zh-CN"/>
        </w:rPr>
        <w:t>采购人</w:t>
      </w:r>
      <w:r>
        <w:rPr>
          <w:rFonts w:hint="eastAsia" w:ascii="仿宋_GB2312" w:hAnsi="仿宋_GB2312" w:eastAsia="仿宋_GB2312" w:cs="仿宋_GB2312"/>
          <w:szCs w:val="21"/>
        </w:rPr>
        <w:t>有权直接从保证金中扣除相应违约金、赔偿金或补救费用。</w:t>
      </w:r>
    </w:p>
    <w:p w14:paraId="79FFF520">
      <w:pPr>
        <w:pStyle w:val="14"/>
        <w:spacing w:line="560" w:lineRule="exact"/>
        <w:ind w:firstLine="420" w:firstLineChars="200"/>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w:t>
      </w:r>
      <w:r>
        <w:rPr>
          <w:rFonts w:hint="eastAsia" w:ascii="仿宋_GB2312" w:hAnsi="仿宋_GB2312" w:eastAsia="仿宋_GB2312" w:cs="仿宋_GB2312"/>
          <w:szCs w:val="21"/>
        </w:rPr>
        <w:t>在</w:t>
      </w:r>
      <w:r>
        <w:rPr>
          <w:rFonts w:hint="eastAsia" w:ascii="仿宋_GB2312" w:hAnsi="仿宋_GB2312" w:eastAsia="仿宋_GB2312" w:cs="仿宋_GB2312"/>
          <w:szCs w:val="21"/>
          <w:lang w:val="en-US" w:eastAsia="zh-CN"/>
        </w:rPr>
        <w:t>中标人</w:t>
      </w:r>
      <w:r>
        <w:rPr>
          <w:rFonts w:hint="eastAsia" w:ascii="仿宋_GB2312" w:hAnsi="仿宋_GB2312" w:eastAsia="仿宋_GB2312" w:cs="仿宋_GB2312"/>
          <w:szCs w:val="21"/>
        </w:rPr>
        <w:t>完全履行合同义务且无争议的情况下，</w:t>
      </w:r>
      <w:r>
        <w:rPr>
          <w:rFonts w:hint="eastAsia" w:ascii="仿宋_GB2312" w:hAnsi="仿宋_GB2312" w:eastAsia="仿宋_GB2312" w:cs="仿宋_GB2312"/>
          <w:szCs w:val="21"/>
          <w:lang w:val="en-US" w:eastAsia="zh-CN"/>
        </w:rPr>
        <w:t>采购后人</w:t>
      </w:r>
      <w:r>
        <w:rPr>
          <w:rFonts w:hint="eastAsia" w:ascii="仿宋_GB2312" w:hAnsi="仿宋_GB2312" w:eastAsia="仿宋_GB2312" w:cs="仿宋_GB2312"/>
          <w:szCs w:val="21"/>
        </w:rPr>
        <w:t>应于合同履行完毕后</w:t>
      </w:r>
      <w:r>
        <w:rPr>
          <w:rFonts w:hint="eastAsia" w:ascii="仿宋_GB2312" w:hAnsi="仿宋_GB2312" w:eastAsia="仿宋_GB2312" w:cs="仿宋_GB2312"/>
          <w:szCs w:val="21"/>
          <w:lang w:val="en-US" w:eastAsia="zh-CN"/>
        </w:rPr>
        <w:t>30</w:t>
      </w:r>
      <w:r>
        <w:rPr>
          <w:rFonts w:hint="eastAsia" w:ascii="仿宋_GB2312" w:hAnsi="仿宋_GB2312" w:eastAsia="仿宋_GB2312" w:cs="仿宋_GB2312"/>
          <w:szCs w:val="21"/>
        </w:rPr>
        <w:t>个工作日内无息退还保证金</w:t>
      </w:r>
      <w:r>
        <w:rPr>
          <w:rFonts w:hint="eastAsia" w:ascii="仿宋_GB2312" w:hAnsi="仿宋_GB2312" w:eastAsia="仿宋_GB2312" w:cs="仿宋_GB2312"/>
          <w:szCs w:val="21"/>
          <w:lang w:eastAsia="zh-CN"/>
        </w:rPr>
        <w:t>。</w:t>
      </w:r>
      <w:r>
        <w:rPr>
          <w:rFonts w:hint="eastAsia" w:ascii="仿宋_GB2312" w:hAnsi="仿宋_GB2312" w:eastAsia="仿宋_GB2312" w:cs="仿宋_GB2312"/>
          <w:szCs w:val="21"/>
        </w:rPr>
        <w:t>若保证金部分被扣除，</w:t>
      </w:r>
      <w:r>
        <w:rPr>
          <w:rFonts w:hint="eastAsia" w:ascii="仿宋_GB2312" w:hAnsi="仿宋_GB2312" w:eastAsia="仿宋_GB2312" w:cs="仿宋_GB2312"/>
          <w:szCs w:val="21"/>
          <w:lang w:val="en-US" w:eastAsia="zh-CN"/>
        </w:rPr>
        <w:t>采购人</w:t>
      </w:r>
      <w:r>
        <w:rPr>
          <w:rFonts w:hint="eastAsia" w:ascii="仿宋_GB2312" w:hAnsi="仿宋_GB2312" w:eastAsia="仿宋_GB2312" w:cs="仿宋_GB2312"/>
          <w:szCs w:val="21"/>
        </w:rPr>
        <w:t>应在扣除后</w:t>
      </w:r>
      <w:r>
        <w:rPr>
          <w:rFonts w:hint="eastAsia" w:ascii="仿宋_GB2312" w:hAnsi="仿宋_GB2312" w:eastAsia="仿宋_GB2312" w:cs="仿宋_GB2312"/>
          <w:szCs w:val="21"/>
          <w:lang w:val="en-US" w:eastAsia="zh-CN"/>
        </w:rPr>
        <w:t>30</w:t>
      </w:r>
      <w:r>
        <w:rPr>
          <w:rFonts w:hint="eastAsia" w:ascii="仿宋_GB2312" w:hAnsi="仿宋_GB2312" w:eastAsia="仿宋_GB2312" w:cs="仿宋_GB2312"/>
          <w:szCs w:val="21"/>
        </w:rPr>
        <w:t>个工作日内退还剩余金额。</w:t>
      </w:r>
    </w:p>
    <w:p w14:paraId="589BC485">
      <w:pPr>
        <w:pStyle w:val="14"/>
        <w:spacing w:line="560" w:lineRule="exact"/>
        <w:ind w:firstLine="420" w:firstLineChars="200"/>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（三）</w:t>
      </w:r>
      <w:r>
        <w:rPr>
          <w:rFonts w:hint="default" w:ascii="仿宋_GB2312" w:hAnsi="仿宋_GB2312" w:eastAsia="仿宋_GB2312" w:cs="仿宋_GB2312"/>
          <w:szCs w:val="21"/>
          <w:lang w:val="en-US" w:eastAsia="zh-CN"/>
        </w:rPr>
        <w:t>中标人须在</w:t>
      </w:r>
      <w:r>
        <w:rPr>
          <w:rFonts w:hint="eastAsia" w:ascii="仿宋_GB2312" w:hAnsi="仿宋_GB2312" w:eastAsia="仿宋_GB2312" w:cs="仿宋_GB2312"/>
          <w:szCs w:val="21"/>
          <w:lang w:val="en-US" w:eastAsia="zh-CN"/>
        </w:rPr>
        <w:t>提出请款申请前，</w:t>
      </w:r>
      <w:r>
        <w:rPr>
          <w:rFonts w:hint="default" w:ascii="仿宋_GB2312" w:hAnsi="仿宋_GB2312" w:eastAsia="仿宋_GB2312" w:cs="仿宋_GB2312"/>
          <w:szCs w:val="21"/>
          <w:lang w:val="en-US" w:eastAsia="zh-CN"/>
        </w:rPr>
        <w:t>提供完成各阶段工作内容相关材料及等额的正式增值税发票和请款申请材料给采购人，以便采购人及时办理付款手续。</w:t>
      </w:r>
    </w:p>
    <w:p w14:paraId="427578BC">
      <w:pPr>
        <w:pStyle w:val="14"/>
        <w:spacing w:line="560" w:lineRule="exact"/>
        <w:ind w:firstLine="420" w:firstLineChars="200"/>
        <w:rPr>
          <w:rFonts w:hint="default" w:ascii="仿宋_GB2312" w:hAnsi="仿宋_GB2312" w:eastAsia="仿宋_GB2312" w:cs="仿宋_GB2312"/>
          <w:szCs w:val="21"/>
          <w:lang w:val="en-US" w:eastAsia="zh-CN"/>
        </w:rPr>
      </w:pPr>
      <w:r>
        <w:rPr>
          <w:rFonts w:hint="default" w:ascii="仿宋_GB2312" w:hAnsi="仿宋_GB2312" w:eastAsia="仿宋_GB2312" w:cs="仿宋_GB2312"/>
          <w:szCs w:val="21"/>
          <w:lang w:val="en-US" w:eastAsia="zh-CN"/>
        </w:rPr>
        <w:t>注：付款期限自收到中标人开具的发票之日起计算，具体到帐期限以财政拨付实际到帐为准。付款方式以双方最终签订的合同为准。</w:t>
      </w:r>
    </w:p>
    <w:p w14:paraId="4C3B7BE8">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七、中选人资格的取消及重新选取中选人</w:t>
      </w:r>
    </w:p>
    <w:p w14:paraId="6B4EFA6F">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拟报名的中介服务机构，务必按照本需求书的要求，做好设计安排，准备好相关材料。中选人有下列情形之一的，将直接取消中选资格，列入“黑名单”，并按照本需求书重新选取监理单位：</w:t>
      </w:r>
    </w:p>
    <w:p w14:paraId="02818FBD">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1.伪造、借用其他单位资质参选的，或串通其他资质单位参选的。</w:t>
      </w:r>
    </w:p>
    <w:p w14:paraId="454AAD90">
      <w:pPr>
        <w:pStyle w:val="14"/>
        <w:spacing w:line="5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2.分包、转包本监理服务的。</w:t>
      </w:r>
    </w:p>
    <w:p w14:paraId="51B88181">
      <w:pPr>
        <w:pStyle w:val="14"/>
        <w:spacing w:line="560" w:lineRule="exact"/>
        <w:ind w:firstLine="420" w:firstLineChars="200"/>
        <w:rPr>
          <w:rFonts w:hint="eastAsia" w:ascii="仿宋_GB2312" w:hAnsi="仿宋_GB2312" w:eastAsia="仿宋_GB2312" w:cs="仿宋_GB2312"/>
          <w:sz w:val="21"/>
          <w:szCs w:val="21"/>
        </w:rPr>
      </w:pPr>
      <w:r>
        <w:rPr>
          <w:rFonts w:hint="eastAsia" w:ascii="仿宋_GB2312" w:hAnsi="仿宋_GB2312" w:eastAsia="仿宋_GB2312" w:cs="仿宋_GB2312"/>
          <w:szCs w:val="21"/>
        </w:rPr>
        <w:t>3.由于中选人原因，导致中选人不能按要求完成监理工作的。</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1" w:fontKey="{A0A25493-2AD1-410A-AB9F-BC13EAE9A5E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86304031"/>
    </w:sdtPr>
    <w:sdtContent>
      <w:p w14:paraId="504A290C">
        <w:pPr>
          <w:pStyle w:val="8"/>
          <w:jc w:val="center"/>
        </w:pPr>
        <w:r>
          <w:fldChar w:fldCharType="begin"/>
        </w:r>
        <w:r>
          <w:instrText xml:space="preserve">PAGE   \* MERGEFORMAT</w:instrText>
        </w:r>
        <w:r>
          <w:fldChar w:fldCharType="separate"/>
        </w:r>
        <w:r>
          <w:rPr>
            <w:lang w:val="zh-CN"/>
          </w:rPr>
          <w:t>8</w:t>
        </w:r>
        <w:r>
          <w:fldChar w:fldCharType="end"/>
        </w:r>
      </w:p>
    </w:sdtContent>
  </w:sdt>
  <w:p w14:paraId="22A53CED">
    <w:pPr>
      <w:pStyle w:val="8"/>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0"/>
  <w:bordersDoNotSurroundFooter w:val="0"/>
  <w:revisionView w:markup="0"/>
  <w:trackRevisions w:val="1"/>
  <w:documentProtection w:enforcement="0"/>
  <w:defaultTabStop w:val="24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RiOGM0ZGY0MjVjMzRjMGMwMTcyMzQ2NDFiMzczOTYifQ=="/>
  </w:docVars>
  <w:rsids>
    <w:rsidRoot w:val="001C4E1F"/>
    <w:rsid w:val="00013164"/>
    <w:rsid w:val="000D3CBA"/>
    <w:rsid w:val="000D7163"/>
    <w:rsid w:val="000E6B98"/>
    <w:rsid w:val="00116C2B"/>
    <w:rsid w:val="00127C9A"/>
    <w:rsid w:val="00153920"/>
    <w:rsid w:val="00155028"/>
    <w:rsid w:val="00175CF0"/>
    <w:rsid w:val="001B4D3C"/>
    <w:rsid w:val="001B74B2"/>
    <w:rsid w:val="001C4E1F"/>
    <w:rsid w:val="001D65AC"/>
    <w:rsid w:val="00217DC4"/>
    <w:rsid w:val="002962FE"/>
    <w:rsid w:val="002B56D8"/>
    <w:rsid w:val="002C204A"/>
    <w:rsid w:val="002C3CBA"/>
    <w:rsid w:val="00314A69"/>
    <w:rsid w:val="00395079"/>
    <w:rsid w:val="003A76C5"/>
    <w:rsid w:val="0040556E"/>
    <w:rsid w:val="00406056"/>
    <w:rsid w:val="00424778"/>
    <w:rsid w:val="00463B1F"/>
    <w:rsid w:val="004758CD"/>
    <w:rsid w:val="00491A21"/>
    <w:rsid w:val="00546F2C"/>
    <w:rsid w:val="005B7BA1"/>
    <w:rsid w:val="00601B2C"/>
    <w:rsid w:val="006334FF"/>
    <w:rsid w:val="006804EF"/>
    <w:rsid w:val="006A5983"/>
    <w:rsid w:val="006A6C3C"/>
    <w:rsid w:val="006D0345"/>
    <w:rsid w:val="006E02DE"/>
    <w:rsid w:val="00716F3F"/>
    <w:rsid w:val="0073317A"/>
    <w:rsid w:val="007F3E5F"/>
    <w:rsid w:val="00813E71"/>
    <w:rsid w:val="00832FD4"/>
    <w:rsid w:val="00874DDD"/>
    <w:rsid w:val="0087620D"/>
    <w:rsid w:val="008C0956"/>
    <w:rsid w:val="009C1F30"/>
    <w:rsid w:val="009F7C43"/>
    <w:rsid w:val="00A156BA"/>
    <w:rsid w:val="00A75521"/>
    <w:rsid w:val="00AB53BC"/>
    <w:rsid w:val="00AE153D"/>
    <w:rsid w:val="00AE67C8"/>
    <w:rsid w:val="00AF4100"/>
    <w:rsid w:val="00B32029"/>
    <w:rsid w:val="00B52515"/>
    <w:rsid w:val="00B62007"/>
    <w:rsid w:val="00B70621"/>
    <w:rsid w:val="00C637D2"/>
    <w:rsid w:val="00CA1F68"/>
    <w:rsid w:val="00CB0E89"/>
    <w:rsid w:val="00CD4CC6"/>
    <w:rsid w:val="00D33564"/>
    <w:rsid w:val="00D62330"/>
    <w:rsid w:val="00D70F5A"/>
    <w:rsid w:val="00DE34D1"/>
    <w:rsid w:val="00E65C88"/>
    <w:rsid w:val="00E75C51"/>
    <w:rsid w:val="00EC508A"/>
    <w:rsid w:val="00F024FA"/>
    <w:rsid w:val="00F14023"/>
    <w:rsid w:val="00F25B54"/>
    <w:rsid w:val="00F31159"/>
    <w:rsid w:val="00F639A5"/>
    <w:rsid w:val="00F85615"/>
    <w:rsid w:val="00FC1D5E"/>
    <w:rsid w:val="01AC5715"/>
    <w:rsid w:val="049C29F9"/>
    <w:rsid w:val="063F6C84"/>
    <w:rsid w:val="0A68577F"/>
    <w:rsid w:val="0E002E10"/>
    <w:rsid w:val="158E6599"/>
    <w:rsid w:val="15A44691"/>
    <w:rsid w:val="165236D6"/>
    <w:rsid w:val="16AE3F2D"/>
    <w:rsid w:val="181C48F7"/>
    <w:rsid w:val="1E4578B9"/>
    <w:rsid w:val="243472A5"/>
    <w:rsid w:val="28E107A2"/>
    <w:rsid w:val="328B6FA3"/>
    <w:rsid w:val="36795AD2"/>
    <w:rsid w:val="3BB30623"/>
    <w:rsid w:val="3DBA0B08"/>
    <w:rsid w:val="3E4E4749"/>
    <w:rsid w:val="3F2F0FC7"/>
    <w:rsid w:val="40064865"/>
    <w:rsid w:val="41FF4D49"/>
    <w:rsid w:val="421A2AAA"/>
    <w:rsid w:val="47E61526"/>
    <w:rsid w:val="4AF64A04"/>
    <w:rsid w:val="5791308E"/>
    <w:rsid w:val="583678AE"/>
    <w:rsid w:val="652B6E0E"/>
    <w:rsid w:val="66AD212A"/>
    <w:rsid w:val="782A6882"/>
    <w:rsid w:val="7B9E42D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0"/>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5"/>
    <w:qFormat/>
    <w:uiPriority w:val="0"/>
    <w:pPr>
      <w:keepNext/>
      <w:keepLines/>
      <w:spacing w:before="260" w:after="260" w:line="416" w:lineRule="auto"/>
      <w:outlineLvl w:val="2"/>
    </w:pPr>
    <w:rPr>
      <w:rFonts w:ascii="Times New Roman" w:hAnsi="Times New Roman" w:eastAsia="宋体" w:cs="Times New Roman"/>
      <w:b/>
      <w:bCs/>
      <w:kern w:val="0"/>
      <w:sz w:val="32"/>
      <w:szCs w:val="32"/>
      <w:lang w:val="zh-CN"/>
    </w:rPr>
  </w:style>
  <w:style w:type="paragraph" w:styleId="5">
    <w:name w:val="heading 4"/>
    <w:basedOn w:val="1"/>
    <w:next w:val="1"/>
    <w:link w:val="31"/>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semiHidden/>
    <w:unhideWhenUsed/>
    <w:qFormat/>
    <w:uiPriority w:val="99"/>
    <w:pPr>
      <w:jc w:val="left"/>
    </w:pPr>
  </w:style>
  <w:style w:type="paragraph" w:styleId="7">
    <w:name w:val="Balloon Text"/>
    <w:basedOn w:val="1"/>
    <w:link w:val="32"/>
    <w:semiHidden/>
    <w:unhideWhenUsed/>
    <w:qFormat/>
    <w:uiPriority w:val="99"/>
    <w:rPr>
      <w:sz w:val="18"/>
      <w:szCs w:val="18"/>
    </w:rPr>
  </w:style>
  <w:style w:type="paragraph" w:styleId="8">
    <w:name w:val="footer"/>
    <w:basedOn w:val="1"/>
    <w:link w:val="23"/>
    <w:unhideWhenUsed/>
    <w:qFormat/>
    <w:uiPriority w:val="99"/>
    <w:pPr>
      <w:tabs>
        <w:tab w:val="center" w:pos="4153"/>
        <w:tab w:val="right" w:pos="8306"/>
      </w:tabs>
      <w:snapToGrid w:val="0"/>
      <w:jc w:val="left"/>
    </w:pPr>
    <w:rPr>
      <w:sz w:val="18"/>
      <w:szCs w:val="18"/>
    </w:rPr>
  </w:style>
  <w:style w:type="paragraph" w:styleId="9">
    <w:name w:val="header"/>
    <w:basedOn w:val="1"/>
    <w:link w:val="22"/>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12">
    <w:name w:val="样式 样式 标题 2H2PIM2Heading 2 Hidden2nd levelh22Header 2l2Titr... + ..."/>
    <w:basedOn w:val="1"/>
    <w:qFormat/>
    <w:uiPriority w:val="0"/>
    <w:pPr>
      <w:keepNext/>
      <w:keepLines/>
      <w:spacing w:beforeLines="50" w:line="360" w:lineRule="auto"/>
      <w:outlineLvl w:val="1"/>
    </w:pPr>
    <w:rPr>
      <w:rFonts w:ascii="Calibri" w:hAnsi="Calibri" w:eastAsia="宋体" w:cs="Times New Roman"/>
      <w:b/>
      <w:bCs/>
      <w:kern w:val="0"/>
      <w:sz w:val="28"/>
      <w:szCs w:val="20"/>
      <w:lang w:val="zh-CN"/>
    </w:rPr>
  </w:style>
  <w:style w:type="paragraph" w:customStyle="1" w:styleId="13">
    <w:name w:val="正文_1"/>
    <w:qFormat/>
    <w:uiPriority w:val="99"/>
    <w:pPr>
      <w:widowControl w:val="0"/>
      <w:jc w:val="both"/>
    </w:pPr>
    <w:rPr>
      <w:rFonts w:ascii="Calibri" w:hAnsi="Calibri" w:eastAsia="宋体" w:cs="Times New Roman"/>
      <w:kern w:val="2"/>
      <w:sz w:val="21"/>
      <w:szCs w:val="22"/>
      <w:lang w:val="en-US" w:eastAsia="zh-CN" w:bidi="ar-SA"/>
    </w:rPr>
  </w:style>
  <w:style w:type="paragraph" w:customStyle="1" w:styleId="14">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5">
    <w:name w:val="正文_0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
    <w:name w:val="0表格正文"/>
    <w:basedOn w:val="15"/>
    <w:link w:val="17"/>
    <w:qFormat/>
    <w:uiPriority w:val="0"/>
    <w:pPr>
      <w:adjustRightInd w:val="0"/>
      <w:textAlignment w:val="baseline"/>
    </w:pPr>
    <w:rPr>
      <w:color w:val="943634"/>
      <w:lang w:val="zh-CN"/>
    </w:rPr>
  </w:style>
  <w:style w:type="character" w:customStyle="1" w:styleId="17">
    <w:name w:val="0表格正文 Char"/>
    <w:link w:val="16"/>
    <w:qFormat/>
    <w:uiPriority w:val="0"/>
    <w:rPr>
      <w:rFonts w:ascii="Times New Roman" w:hAnsi="Times New Roman" w:eastAsia="宋体" w:cs="Times New Roman"/>
      <w:color w:val="943634"/>
      <w:szCs w:val="24"/>
      <w:lang w:val="zh-CN" w:eastAsia="zh-CN"/>
    </w:rPr>
  </w:style>
  <w:style w:type="paragraph" w:customStyle="1" w:styleId="18">
    <w:name w:val="正文缩进_1"/>
    <w:basedOn w:val="14"/>
    <w:link w:val="19"/>
    <w:qFormat/>
    <w:uiPriority w:val="0"/>
    <w:pPr>
      <w:ind w:firstLine="420"/>
    </w:pPr>
    <w:rPr>
      <w:rFonts w:ascii="Times New Roman" w:hAnsi="Times New Roman"/>
      <w:kern w:val="0"/>
      <w:szCs w:val="20"/>
    </w:rPr>
  </w:style>
  <w:style w:type="character" w:customStyle="1" w:styleId="19">
    <w:name w:val="正文缩进 Char_1"/>
    <w:link w:val="18"/>
    <w:qFormat/>
    <w:uiPriority w:val="0"/>
    <w:rPr>
      <w:rFonts w:ascii="Times New Roman" w:hAnsi="Times New Roman" w:eastAsia="宋体" w:cs="Times New Roman"/>
      <w:kern w:val="0"/>
      <w:szCs w:val="20"/>
    </w:rPr>
  </w:style>
  <w:style w:type="paragraph" w:customStyle="1" w:styleId="20">
    <w:name w:val="纯文本_0"/>
    <w:basedOn w:val="1"/>
    <w:link w:val="21"/>
    <w:unhideWhenUsed/>
    <w:qFormat/>
    <w:uiPriority w:val="0"/>
    <w:pPr>
      <w:widowControl/>
      <w:jc w:val="left"/>
    </w:pPr>
    <w:rPr>
      <w:rFonts w:ascii="宋体" w:hAnsi="Courier New" w:eastAsia="宋体" w:cs="Times New Roman"/>
      <w:kern w:val="0"/>
      <w:sz w:val="20"/>
      <w:szCs w:val="21"/>
      <w:lang w:val="zh-CN"/>
    </w:rPr>
  </w:style>
  <w:style w:type="character" w:customStyle="1" w:styleId="21">
    <w:name w:val="纯文本 Char_0_0"/>
    <w:link w:val="20"/>
    <w:qFormat/>
    <w:locked/>
    <w:uiPriority w:val="0"/>
    <w:rPr>
      <w:rFonts w:ascii="宋体" w:hAnsi="Courier New" w:eastAsia="宋体" w:cs="Times New Roman"/>
      <w:kern w:val="0"/>
      <w:sz w:val="20"/>
      <w:szCs w:val="21"/>
      <w:lang w:val="zh-CN" w:eastAsia="zh-CN"/>
    </w:rPr>
  </w:style>
  <w:style w:type="character" w:customStyle="1" w:styleId="22">
    <w:name w:val="页眉 字符"/>
    <w:basedOn w:val="11"/>
    <w:link w:val="9"/>
    <w:qFormat/>
    <w:uiPriority w:val="99"/>
    <w:rPr>
      <w:sz w:val="18"/>
      <w:szCs w:val="18"/>
    </w:rPr>
  </w:style>
  <w:style w:type="character" w:customStyle="1" w:styleId="23">
    <w:name w:val="页脚 字符"/>
    <w:basedOn w:val="11"/>
    <w:link w:val="8"/>
    <w:qFormat/>
    <w:uiPriority w:val="99"/>
    <w:rPr>
      <w:sz w:val="18"/>
      <w:szCs w:val="18"/>
    </w:rPr>
  </w:style>
  <w:style w:type="character" w:customStyle="1" w:styleId="24">
    <w:name w:val="标题 3 字符"/>
    <w:basedOn w:val="11"/>
    <w:semiHidden/>
    <w:qFormat/>
    <w:uiPriority w:val="9"/>
    <w:rPr>
      <w:b/>
      <w:bCs/>
      <w:sz w:val="32"/>
      <w:szCs w:val="32"/>
    </w:rPr>
  </w:style>
  <w:style w:type="character" w:customStyle="1" w:styleId="25">
    <w:name w:val="标题 3 字符1"/>
    <w:link w:val="4"/>
    <w:qFormat/>
    <w:uiPriority w:val="0"/>
    <w:rPr>
      <w:rFonts w:ascii="Times New Roman" w:hAnsi="Times New Roman" w:eastAsia="宋体" w:cs="Times New Roman"/>
      <w:b/>
      <w:bCs/>
      <w:kern w:val="0"/>
      <w:sz w:val="32"/>
      <w:szCs w:val="32"/>
      <w:lang w:val="zh-CN" w:eastAsia="zh-CN"/>
    </w:rPr>
  </w:style>
  <w:style w:type="paragraph" w:customStyle="1" w:styleId="26">
    <w:name w:val="0正文"/>
    <w:basedOn w:val="1"/>
    <w:link w:val="27"/>
    <w:qFormat/>
    <w:uiPriority w:val="0"/>
    <w:pPr>
      <w:adjustRightInd w:val="0"/>
      <w:spacing w:line="360" w:lineRule="auto"/>
      <w:ind w:right="105" w:firstLine="425" w:firstLineChars="177"/>
      <w:textAlignment w:val="baseline"/>
    </w:pPr>
    <w:rPr>
      <w:rFonts w:ascii="宋体" w:hAnsi="宋体" w:eastAsia="宋体" w:cs="Times New Roman"/>
      <w:kern w:val="0"/>
      <w:sz w:val="24"/>
      <w:szCs w:val="24"/>
      <w:lang w:val="zh-CN"/>
    </w:rPr>
  </w:style>
  <w:style w:type="character" w:customStyle="1" w:styleId="27">
    <w:name w:val="0正文 Char"/>
    <w:link w:val="26"/>
    <w:qFormat/>
    <w:uiPriority w:val="0"/>
    <w:rPr>
      <w:rFonts w:ascii="宋体" w:hAnsi="宋体" w:eastAsia="宋体" w:cs="Times New Roman"/>
      <w:kern w:val="0"/>
      <w:sz w:val="24"/>
      <w:szCs w:val="24"/>
      <w:lang w:val="zh-CN" w:eastAsia="zh-CN"/>
    </w:rPr>
  </w:style>
  <w:style w:type="character" w:customStyle="1" w:styleId="28">
    <w:name w:val="标题 2 字符"/>
    <w:basedOn w:val="11"/>
    <w:link w:val="3"/>
    <w:qFormat/>
    <w:uiPriority w:val="9"/>
    <w:rPr>
      <w:rFonts w:asciiTheme="majorHAnsi" w:hAnsiTheme="majorHAnsi" w:eastAsiaTheme="majorEastAsia" w:cstheme="majorBidi"/>
      <w:b/>
      <w:bCs/>
      <w:sz w:val="32"/>
      <w:szCs w:val="32"/>
    </w:rPr>
  </w:style>
  <w:style w:type="paragraph" w:styleId="29">
    <w:name w:val="List Paragraph"/>
    <w:basedOn w:val="1"/>
    <w:qFormat/>
    <w:uiPriority w:val="34"/>
    <w:pPr>
      <w:ind w:firstLine="420" w:firstLineChars="200"/>
    </w:pPr>
  </w:style>
  <w:style w:type="character" w:customStyle="1" w:styleId="30">
    <w:name w:val="标题 1 字符"/>
    <w:basedOn w:val="11"/>
    <w:link w:val="2"/>
    <w:qFormat/>
    <w:uiPriority w:val="9"/>
    <w:rPr>
      <w:b/>
      <w:bCs/>
      <w:kern w:val="44"/>
      <w:sz w:val="44"/>
      <w:szCs w:val="44"/>
    </w:rPr>
  </w:style>
  <w:style w:type="character" w:customStyle="1" w:styleId="31">
    <w:name w:val="标题 4 字符"/>
    <w:basedOn w:val="11"/>
    <w:link w:val="5"/>
    <w:semiHidden/>
    <w:qFormat/>
    <w:uiPriority w:val="9"/>
    <w:rPr>
      <w:rFonts w:asciiTheme="majorHAnsi" w:hAnsiTheme="majorHAnsi" w:eastAsiaTheme="majorEastAsia" w:cstheme="majorBidi"/>
      <w:b/>
      <w:bCs/>
      <w:sz w:val="28"/>
      <w:szCs w:val="28"/>
    </w:rPr>
  </w:style>
  <w:style w:type="character" w:customStyle="1" w:styleId="32">
    <w:name w:val="批注框文本 字符"/>
    <w:basedOn w:val="11"/>
    <w:link w:val="7"/>
    <w:semiHidden/>
    <w:qFormat/>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5891</Words>
  <Characters>6072</Characters>
  <Lines>14</Lines>
  <Paragraphs>4</Paragraphs>
  <TotalTime>25</TotalTime>
  <ScaleCrop>false</ScaleCrop>
  <LinksUpToDate>false</LinksUpToDate>
  <CharactersWithSpaces>6136</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2022-04-08T07:40:00Z</dcterms:created>
  <dc:creator>13928</dc:creator>
  <cp:lastModifiedBy>迪</cp:lastModifiedBy>
  <cp:lastPrinted>2019-10-17T08:16:00Z</cp:lastPrinted>
  <dcterms:modified xsi:type="dcterms:W3CDTF">2025-02-13T06:24:47Z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9FCC3D4C789842EF80789B489C08E62F_13</vt:lpwstr>
  </property>
  <property fmtid="{D5CDD505-2E9C-101B-9397-08002B2CF9AE}" pid="4" name="KSOTemplateDocerSaveRecord">
    <vt:lpwstr>eyJoZGlkIjoiZWRiOGM0ZGY0MjVjMzRjMGMwMTcyMzQ2NDFiMzczOTYiLCJ1c2VySWQiOiI0NTgwMTAwMzMifQ==</vt:lpwstr>
  </property>
</Properties>
</file>