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9F05FE">
      <w:pPr>
        <w:spacing w:line="0" w:lineRule="atLeast"/>
        <w:ind w:left="-141" w:leftChars="-67" w:firstLine="168" w:firstLineChars="38"/>
        <w:jc w:val="center"/>
        <w:rPr>
          <w:rFonts w:hint="eastAsia" w:ascii="仿宋" w:hAnsi="仿宋" w:eastAsia="仿宋" w:cs="仿宋"/>
          <w:b/>
          <w:bCs/>
          <w:color w:val="000000"/>
          <w:kern w:val="0"/>
          <w:sz w:val="44"/>
          <w:szCs w:val="44"/>
        </w:rPr>
      </w:pPr>
      <w:r>
        <w:rPr>
          <w:rFonts w:hint="eastAsia" w:ascii="仿宋" w:hAnsi="仿宋" w:eastAsia="仿宋" w:cs="仿宋"/>
          <w:b/>
          <w:bCs/>
          <w:color w:val="000000"/>
          <w:kern w:val="0"/>
          <w:sz w:val="44"/>
          <w:szCs w:val="44"/>
        </w:rPr>
        <w:t>项目采购需求</w:t>
      </w:r>
    </w:p>
    <w:p w14:paraId="60030EAE">
      <w:pPr>
        <w:widowControl/>
        <w:ind w:firstLine="480" w:firstLineChars="200"/>
        <w:jc w:val="left"/>
        <w:rPr>
          <w:rFonts w:hint="eastAsia" w:ascii="仿宋" w:hAnsi="仿宋" w:eastAsia="仿宋" w:cs="仿宋"/>
          <w:kern w:val="0"/>
          <w:sz w:val="24"/>
          <w:szCs w:val="24"/>
          <w:lang w:eastAsia="zh-Hans"/>
        </w:rPr>
      </w:pPr>
    </w:p>
    <w:p w14:paraId="7E11858C">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1.项目概况</w:t>
      </w:r>
    </w:p>
    <w:p w14:paraId="7BD224E7">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1.1.基本信息</w:t>
      </w:r>
    </w:p>
    <w:p w14:paraId="0EFB9C5D">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1.1.1.项目名称</w:t>
      </w:r>
    </w:p>
    <w:p w14:paraId="13A726FC">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省重大传染病（结核病）信息管理平台升级和运维（</w:t>
      </w:r>
      <w:r>
        <w:rPr>
          <w:rFonts w:hint="eastAsia" w:ascii="仿宋" w:hAnsi="仿宋" w:eastAsia="仿宋" w:cs="仿宋"/>
          <w:kern w:val="0"/>
          <w:sz w:val="28"/>
          <w:szCs w:val="28"/>
          <w:lang w:eastAsia="zh-Hans"/>
        </w:rPr>
        <w:t>2025年）项目</w:t>
      </w:r>
    </w:p>
    <w:p w14:paraId="7C39CA84">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1.1.2.采购人</w:t>
      </w:r>
    </w:p>
    <w:p w14:paraId="280D0505">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highlight w:val="none"/>
          <w:lang w:eastAsia="zh-Hans"/>
        </w:rPr>
        <w:t>省结核病控制中心</w:t>
      </w:r>
      <w:r>
        <w:rPr>
          <w:rFonts w:hint="eastAsia" w:ascii="仿宋" w:hAnsi="仿宋" w:eastAsia="仿宋" w:cs="仿宋"/>
          <w:kern w:val="0"/>
          <w:sz w:val="28"/>
          <w:szCs w:val="28"/>
          <w:lang w:eastAsia="zh-Hans"/>
        </w:rPr>
        <w:t>。</w:t>
      </w:r>
    </w:p>
    <w:p w14:paraId="3F3CEFD2">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1.1.3.项目总体目标</w:t>
      </w:r>
    </w:p>
    <w:p w14:paraId="7D173AC2">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省重大传染病（结核病）信息管理平台升级和运维（</w:t>
      </w:r>
      <w:r>
        <w:rPr>
          <w:rFonts w:hint="eastAsia" w:ascii="仿宋" w:hAnsi="仿宋" w:eastAsia="仿宋" w:cs="仿宋"/>
          <w:kern w:val="0"/>
          <w:sz w:val="28"/>
          <w:szCs w:val="28"/>
          <w:lang w:eastAsia="zh-Hans"/>
        </w:rPr>
        <w:t>2025年）项目是根据国务院办公厅《关于印发“十四五”国民健康规划的通知》、国家卫生健康委《关于进一步加强结核病防治工作的通知》、《遏制结核病行动计划（2019-2022年）》，中国疾病预防控制中心《关于进一步加强结核病防治综合质量控制体系建设的通知》和结核病防控工作等政策新要求新任务，全面落实结核病防治策略，加强肺结核利福平耐药患者未纳入治疗患管理和患者健康协同管理，以推进肺结核防控诊疗、管理和服务规范化、标准化、制度化为建设目标。</w:t>
      </w:r>
    </w:p>
    <w:p w14:paraId="48942E06">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1、应用系统建设目标</w:t>
      </w:r>
    </w:p>
    <w:p w14:paraId="39DAF8B8">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贯彻落实《关于印发遏制结核病行动计划（</w:t>
      </w:r>
      <w:r>
        <w:rPr>
          <w:rFonts w:hint="eastAsia" w:ascii="仿宋" w:hAnsi="仿宋" w:eastAsia="仿宋" w:cs="仿宋"/>
          <w:kern w:val="0"/>
          <w:sz w:val="28"/>
          <w:szCs w:val="28"/>
          <w:lang w:eastAsia="zh-Hans"/>
        </w:rPr>
        <w:t>2019—2022年）的通知（国卫疾控发﹝2019﹞41号）》、《中国结核病防治工作技术指南》等政策及指南要求，立足当前结核病防治工作存在的机构工作协同不够、耐药患者管理不全、数据价值挖掘不足等问题，建设利福平耐药未纳入治疗患者健康信息管理、结核病患者健康协同管理、基于患者画像的分级分类健康管理功能，通过系统的建设，为针对2020至今诊断为利福平耐药肺结核尚未纳入治疗的患者，通过研发利福平耐药肺结核未纳入治疗患者健康信息管理管理子模块，实现对其该类患者的个人基本信息和筛</w:t>
      </w:r>
      <w:r>
        <w:rPr>
          <w:rFonts w:hint="eastAsia" w:ascii="仿宋" w:hAnsi="仿宋" w:eastAsia="仿宋" w:cs="仿宋"/>
          <w:kern w:val="0"/>
          <w:sz w:val="28"/>
          <w:szCs w:val="28"/>
          <w:lang w:eastAsia="zh-Hans"/>
        </w:rPr>
        <w:t>查、随访、治疗、转归等健康信息进行汇集和管理，便于加强随访调查和精准化管理，使结核病的机构诊疗和基层关怀服务无缝衔接，缩短通知单下发周期、简化督导通知工作流程，提升协同效率，实现对结核病重点人群的精细化分析和分级分类管理知道，辅助结防及医疗机构更加全面、客观、准确的了解患者信息，为开展精细化管理和服务提供支撑。</w:t>
      </w:r>
    </w:p>
    <w:p w14:paraId="38C8C98D">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2、系统运行维护服务目标</w:t>
      </w:r>
    </w:p>
    <w:p w14:paraId="26F7A73C">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通过本项目的实施，高效的开展系统运维工作，降低或减少故障率，优化系统的功能和性能，保护系统和用户的信息安全，确保省重大传染病（结核病）信息管理平台能够连续、稳定、可靠地运行，以支持结核病防控工作的开展。</w:t>
      </w:r>
    </w:p>
    <w:p w14:paraId="65150BF7">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3、系统业务运营服务目标</w:t>
      </w:r>
    </w:p>
    <w:p w14:paraId="14DF7075">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通过提供用户操作咨询支持服务、用户培训及回访、业务规则的整理等业务管理运营服务，为业务的有效运行开展提供支撑；通过数据资源的采集整理、处理、核验、标注、补全、分析等运营工作，确保数据质量，为结核病防控业务的开展提供高质量的数据支撑；通过系统安全运营服务，提升系统信息安全保护能力、隐患发现能力、应急反应能力和信息对抗能力，为数据安全治理、评估、防护和运维管理提供技术体系支撑。</w:t>
      </w:r>
    </w:p>
    <w:p w14:paraId="2CCAE1F2">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1.1.4.服务地点</w:t>
      </w:r>
    </w:p>
    <w:p w14:paraId="5A593965">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采购人指定的服务地点。</w:t>
      </w:r>
    </w:p>
    <w:p w14:paraId="398CFB29">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1.2.项目背景</w:t>
      </w:r>
    </w:p>
    <w:p w14:paraId="72E9F1BD">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1项目背景</w:t>
      </w:r>
    </w:p>
    <w:p w14:paraId="6495AAA1">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本项目总体建设内容是以进一步提升广东省结核病监测预警能力、数据互联互通和业务协同能力，安全保障能力为建设目标，在现有的建设成果基础上，结合国家及省政府关于数字政府建设、结核病防控工作等政策的新方向、新要求而开展的信息化建设。</w:t>
      </w:r>
    </w:p>
    <w:p w14:paraId="2A1FDF1E">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2信息化现状</w:t>
      </w:r>
    </w:p>
    <w:p w14:paraId="74DC71A6">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目前，省重大传染病（结核病）信息管理平台已经正式迁移至政务云上，通过</w:t>
      </w:r>
      <w:r>
        <w:rPr>
          <w:rFonts w:hint="eastAsia" w:ascii="仿宋" w:hAnsi="仿宋" w:eastAsia="仿宋" w:cs="仿宋"/>
          <w:kern w:val="0"/>
          <w:sz w:val="28"/>
          <w:szCs w:val="28"/>
          <w:lang w:eastAsia="zh-Hans"/>
        </w:rPr>
        <w:t>VPN连接堡垒机进入访问。应用软件共使用到20台服务器</w:t>
      </w:r>
      <w:r>
        <w:rPr>
          <w:rFonts w:hint="eastAsia" w:ascii="仿宋" w:hAnsi="仿宋" w:eastAsia="仿宋" w:cs="仿宋"/>
          <w:kern w:val="0"/>
          <w:sz w:val="28"/>
          <w:szCs w:val="28"/>
        </w:rPr>
        <w:t>，</w:t>
      </w:r>
      <w:r>
        <w:rPr>
          <w:rFonts w:hint="eastAsia" w:ascii="仿宋" w:hAnsi="仿宋" w:eastAsia="仿宋" w:cs="仿宋"/>
          <w:kern w:val="0"/>
          <w:sz w:val="28"/>
          <w:szCs w:val="28"/>
          <w:lang w:eastAsia="zh-Hans"/>
        </w:rPr>
        <w:t>日常工作通过VPN连接堡垒机进入访问。平台包含患者发现、诊断筛查、治疗管理、疫情监测、远程诊疗平台、移动管理端、移动督导端、移动患者端、全场景重点人群数字健康管理等功能。</w:t>
      </w:r>
    </w:p>
    <w:p w14:paraId="630D97AD">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lang w:eastAsia="zh-Hans"/>
        </w:rPr>
        <w:t>.服务期限</w:t>
      </w:r>
    </w:p>
    <w:p w14:paraId="5D84732A">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以合同签订之日为服务起始时间，服务期为12个月。</w:t>
      </w:r>
    </w:p>
    <w:p w14:paraId="61396BDD">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4.服务内容</w:t>
      </w:r>
    </w:p>
    <w:p w14:paraId="3366820D">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4.1.定制软件开发服务</w:t>
      </w:r>
    </w:p>
    <w:p w14:paraId="3EB4242E">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4.1.1.利福平耐药未纳入治疗患者健康信息管理</w:t>
      </w:r>
    </w:p>
    <w:p w14:paraId="49D92997">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对于未纳入治疗管理的利福平耐药患者亟需摸清底数，加强管理溯源，全面掌握患者的诊断情况、治疗情况、转归情况，推进耐药结核病规范诊治工作。本功能支撑将</w:t>
      </w:r>
      <w:r>
        <w:rPr>
          <w:rFonts w:hint="eastAsia" w:ascii="仿宋" w:hAnsi="仿宋" w:eastAsia="仿宋" w:cs="仿宋"/>
          <w:kern w:val="0"/>
          <w:sz w:val="28"/>
          <w:szCs w:val="28"/>
          <w:lang w:eastAsia="zh-Hans"/>
        </w:rPr>
        <w:t>2020-2022年未纳入治疗管理的耐药肺结核患者信息采集录入/导入到结防平台，系统支持模版管理、数据导入、数据录入、数据校验、数据导出、日志管理、数据查询、统计分析等功能。</w:t>
      </w:r>
    </w:p>
    <w:p w14:paraId="2476018F">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4.1.2.结核病患者健康协同管理</w:t>
      </w:r>
    </w:p>
    <w:p w14:paraId="329CBFAC">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当前上级结防机构</w:t>
      </w:r>
      <w:r>
        <w:rPr>
          <w:rFonts w:hint="eastAsia" w:ascii="仿宋" w:hAnsi="仿宋" w:eastAsia="仿宋" w:cs="仿宋"/>
          <w:kern w:val="0"/>
          <w:sz w:val="28"/>
          <w:szCs w:val="28"/>
          <w:lang w:eastAsia="zh-Hans"/>
        </w:rPr>
        <w:t>/定点医疗机构与基层医疗机构在肺结核管理通知工作方面多采取传统（电话、传真、纸质转诊单）方式开展，肺结核管理通知工作效率不高、沟通不畅，结核病患者健康协同管理功能实现治疗通知单通过防控平台进行下发、接收、统计等功能。本模块的功能主要包括机构管理、通知单管理、下发管理、接收管理、退回/拒收、重新发送、统计分析、协同通知、数据查询等功能。</w:t>
      </w:r>
    </w:p>
    <w:p w14:paraId="4D835501">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4.1.3.基于患者画像的分级分类健康管理</w:t>
      </w:r>
    </w:p>
    <w:p w14:paraId="5431B2A8">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本项目中，患者画像数据源以平台汇集的数据作为主要数据源，采用标签化的方法对结核病患者进行数字化的描述和标识，通过结核病患者画像模型，实现对结核病患者的多维分类，并基于患者的分类，为医疗机构提供个性化的健康管理服务。主要实现三方面的目标：其一支持科室进行患者依从度分析，对科室的患者教育、服务沟通过程进行管理；其二从患者依从度画像出发，提供健康科普内容的订阅与个性化推送；其三是按时间段、人群、个体切片汇聚收入情况，开展科室服务效益分析。</w:t>
      </w:r>
    </w:p>
    <w:p w14:paraId="24F631AF">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4.</w:t>
      </w:r>
      <w:r>
        <w:rPr>
          <w:rFonts w:hint="eastAsia" w:ascii="仿宋" w:hAnsi="仿宋" w:eastAsia="仿宋" w:cs="仿宋"/>
          <w:kern w:val="0"/>
          <w:sz w:val="28"/>
          <w:szCs w:val="28"/>
          <w:lang w:val="en-US" w:eastAsia="zh-CN"/>
        </w:rPr>
        <w:t>2</w:t>
      </w:r>
      <w:r>
        <w:rPr>
          <w:rFonts w:hint="eastAsia" w:ascii="仿宋" w:hAnsi="仿宋" w:eastAsia="仿宋" w:cs="仿宋"/>
          <w:kern w:val="0"/>
          <w:sz w:val="28"/>
          <w:szCs w:val="28"/>
          <w:lang w:eastAsia="zh-Hans"/>
        </w:rPr>
        <w:t>.软件系统运行维护服务</w:t>
      </w:r>
    </w:p>
    <w:p w14:paraId="54C01B9C">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运行维护服务的目标是为了满足系统运行环境稳定、运行系统统一管理、及时的故障恢复的要求，保障系统正常运行。具体包括：</w:t>
      </w:r>
    </w:p>
    <w:p w14:paraId="4E327E2F">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1、软件的功能配置完善、性能优化、安全保障。根据软件的功能、结构及主要特性等，对软件设置相关参数，完善配置、性能优化调整，以提高系统灵活性，保障系统能够稳定运行、高并发访问时系统不会出现宕机、同时能够支撑并发访问量。</w:t>
      </w:r>
    </w:p>
    <w:p w14:paraId="60BF59BE">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2、常规例行检查。针对应用系统的软件提供常规的例行检查，将根据制定的例行检查计划按天、周、月等时间进行检查，保障软件的安全运行。</w:t>
      </w:r>
    </w:p>
    <w:p w14:paraId="67595164">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3、帮助定位故障，快速恢复系统运行。当故障产生时，可以进行故障的快速定位，发现故障原因，调度资源快速恢复系统服务，从而缩短故障解决时间，降低维护成本，提高系统整体可用性。</w:t>
      </w:r>
    </w:p>
    <w:p w14:paraId="31C552D9">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4、状态监控，掌握运行质量与效率，合理利用资源。建立运维统计分析管理制度，了解IT资源的负载与使用情况，根据需要从整体角度考虑资源的使用，同时可以根据业务高峰期的不同来调剂业务系统对资源的使用。</w:t>
      </w:r>
    </w:p>
    <w:p w14:paraId="124F3FB9">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5、规范运行管理，有序开展维护。参照ITIL规范，对运维管理工作进行优化，对服务管理进行改善，将管理数据电子化，管理过程规范化。根据相关制度进行运行维护管理，对内完善流程，对外提高服务，加强管理，使流程更规范更合理，使技术人员具备更高的工作效率，提高业务技术能力和解决实际问题的能力。</w:t>
      </w:r>
    </w:p>
    <w:p w14:paraId="5CCB3774">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6、响应支持和统计决策分析。通过运维服务产生的各类性能分析报表、资源统计报表和运维分析报表，从各个侧面、各个角度反映系统的运行情况、性能情况，为系统升级、改造、扩容提供科学依据。</w:t>
      </w:r>
    </w:p>
    <w:p w14:paraId="7B5AE553">
      <w:pPr>
        <w:widowControl/>
        <w:ind w:firstLine="560" w:firstLineChars="200"/>
        <w:jc w:val="left"/>
        <w:rPr>
          <w:rFonts w:hint="eastAsia" w:ascii="仿宋" w:hAnsi="仿宋" w:eastAsia="仿宋" w:cs="仿宋"/>
          <w:kern w:val="0"/>
          <w:sz w:val="28"/>
          <w:szCs w:val="28"/>
          <w:lang w:eastAsia="zh-Hans"/>
        </w:rPr>
      </w:pPr>
    </w:p>
    <w:p w14:paraId="6C6D4790">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4.</w:t>
      </w:r>
      <w:r>
        <w:rPr>
          <w:rFonts w:hint="eastAsia" w:ascii="仿宋" w:hAnsi="仿宋" w:eastAsia="仿宋" w:cs="仿宋"/>
          <w:kern w:val="0"/>
          <w:sz w:val="28"/>
          <w:szCs w:val="28"/>
          <w:lang w:val="en-US" w:eastAsia="zh-CN"/>
        </w:rPr>
        <w:t>3</w:t>
      </w:r>
      <w:r>
        <w:rPr>
          <w:rFonts w:hint="eastAsia" w:ascii="仿宋" w:hAnsi="仿宋" w:eastAsia="仿宋" w:cs="仿宋"/>
          <w:kern w:val="0"/>
          <w:sz w:val="28"/>
          <w:szCs w:val="28"/>
          <w:lang w:eastAsia="zh-Hans"/>
        </w:rPr>
        <w:t>.系统业务运营服务</w:t>
      </w:r>
    </w:p>
    <w:p w14:paraId="0C7CBB2A">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4.</w:t>
      </w:r>
      <w:r>
        <w:rPr>
          <w:rFonts w:hint="eastAsia" w:ascii="仿宋" w:hAnsi="仿宋" w:eastAsia="仿宋" w:cs="仿宋"/>
          <w:kern w:val="0"/>
          <w:sz w:val="28"/>
          <w:szCs w:val="28"/>
          <w:lang w:val="en-US" w:eastAsia="zh-CN"/>
        </w:rPr>
        <w:t>3</w:t>
      </w:r>
      <w:r>
        <w:rPr>
          <w:rFonts w:hint="eastAsia" w:ascii="仿宋" w:hAnsi="仿宋" w:eastAsia="仿宋" w:cs="仿宋"/>
          <w:kern w:val="0"/>
          <w:sz w:val="28"/>
          <w:szCs w:val="28"/>
          <w:lang w:eastAsia="zh-Hans"/>
        </w:rPr>
        <w:t>.1.业务管理运营服务</w:t>
      </w:r>
    </w:p>
    <w:p w14:paraId="565B3F37">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业务管理运营服务指运营服务方基于省重大传染病（结核病）信息管理平台提供的、与日常业务管理相关的运营工作。具体包括结核病防控相关标准规则整理优化、用户操作咨询支持服务、知识库运营服务以及用户培训及回访服务，通过业务管理运营服务，构建完整、精准、科学的标准规范体系，使用户质量控制、学校聚集性疫情监测预警监测等业务规则更加优化，业务开展更加顺畅；为用户提供持续、紧密的技术支持服务，提升用户对平台的满意度；通过知识库运营服务，能够提高知识的数量和质量，为用户输出更优质的健康知识资源；通过用户培训及回访运营，扩大平台的覆盖区域和用户规模，助力平台建设取得实效。</w:t>
      </w:r>
      <w:r>
        <w:rPr>
          <w:rFonts w:hint="eastAsia" w:ascii="仿宋" w:hAnsi="仿宋" w:eastAsia="仿宋" w:cs="仿宋"/>
          <w:kern w:val="0"/>
          <w:sz w:val="28"/>
          <w:szCs w:val="28"/>
          <w:lang w:eastAsia="zh-Hans"/>
        </w:rPr>
        <w:t>具体包括：业务规则的整理运营</w:t>
      </w:r>
      <w:r>
        <w:rPr>
          <w:rFonts w:hint="eastAsia" w:ascii="仿宋" w:hAnsi="仿宋" w:eastAsia="仿宋" w:cs="仿宋"/>
          <w:kern w:val="0"/>
          <w:sz w:val="28"/>
          <w:szCs w:val="28"/>
        </w:rPr>
        <w:t>、</w:t>
      </w:r>
      <w:r>
        <w:rPr>
          <w:rFonts w:hint="eastAsia" w:ascii="仿宋" w:hAnsi="仿宋" w:eastAsia="仿宋" w:cs="仿宋"/>
          <w:kern w:val="0"/>
          <w:sz w:val="28"/>
          <w:szCs w:val="28"/>
        </w:rPr>
        <w:t>用户操作咨询支持服务</w:t>
      </w:r>
      <w:r>
        <w:rPr>
          <w:rFonts w:hint="eastAsia" w:ascii="仿宋" w:hAnsi="仿宋" w:eastAsia="仿宋" w:cs="仿宋"/>
          <w:kern w:val="0"/>
          <w:sz w:val="28"/>
          <w:szCs w:val="28"/>
        </w:rPr>
        <w:t>、</w:t>
      </w:r>
      <w:r>
        <w:rPr>
          <w:rFonts w:hint="eastAsia" w:ascii="仿宋" w:hAnsi="仿宋" w:eastAsia="仿宋" w:cs="仿宋"/>
          <w:kern w:val="0"/>
          <w:sz w:val="28"/>
          <w:szCs w:val="28"/>
        </w:rPr>
        <w:t>用户培训及回访服务</w:t>
      </w:r>
      <w:r>
        <w:rPr>
          <w:rFonts w:hint="eastAsia" w:ascii="仿宋" w:hAnsi="仿宋" w:eastAsia="仿宋" w:cs="仿宋"/>
          <w:kern w:val="0"/>
          <w:sz w:val="28"/>
          <w:szCs w:val="28"/>
          <w:lang w:eastAsia="zh-Hans"/>
        </w:rPr>
        <w:t>。</w:t>
      </w:r>
    </w:p>
    <w:p w14:paraId="69964BDC">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4.</w:t>
      </w:r>
      <w:r>
        <w:rPr>
          <w:rFonts w:hint="eastAsia" w:ascii="仿宋" w:hAnsi="仿宋" w:eastAsia="仿宋" w:cs="仿宋"/>
          <w:kern w:val="0"/>
          <w:sz w:val="28"/>
          <w:szCs w:val="28"/>
          <w:lang w:val="en-US" w:eastAsia="zh-CN"/>
        </w:rPr>
        <w:t>3</w:t>
      </w:r>
      <w:r>
        <w:rPr>
          <w:rFonts w:hint="eastAsia" w:ascii="仿宋" w:hAnsi="仿宋" w:eastAsia="仿宋" w:cs="仿宋"/>
          <w:kern w:val="0"/>
          <w:sz w:val="28"/>
          <w:szCs w:val="28"/>
          <w:lang w:eastAsia="zh-Hans"/>
        </w:rPr>
        <w:t>.2.数据处理运营服务</w:t>
      </w:r>
    </w:p>
    <w:p w14:paraId="5C15FFD7">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数据处理运营服务是基于省重大传染病（结核病）信息管理平台的运行要求而开展的数数据采集、数据清洗、数据更新、数据统计分析等服务，通过省重大传染病（结核病）信息管理平台数据运营服务，实现数据采集规模和采集效率的提升，保障结核防控数据质量，基于采集的结核病数据开展数据的分析工作，形成数据处理相关的统计分析报告，辅助优化数据运营服务的策略。</w:t>
      </w:r>
      <w:r>
        <w:rPr>
          <w:rFonts w:hint="eastAsia" w:ascii="仿宋" w:hAnsi="仿宋" w:eastAsia="仿宋" w:cs="仿宋"/>
          <w:kern w:val="0"/>
          <w:sz w:val="28"/>
          <w:szCs w:val="28"/>
          <w:lang w:eastAsia="zh-Hans"/>
        </w:rPr>
        <w:t>具体包括：结核病患者健康画像数据运营服务</w:t>
      </w:r>
      <w:r>
        <w:rPr>
          <w:rFonts w:hint="eastAsia" w:ascii="仿宋" w:hAnsi="仿宋" w:eastAsia="仿宋" w:cs="仿宋"/>
          <w:kern w:val="0"/>
          <w:sz w:val="28"/>
          <w:szCs w:val="28"/>
        </w:rPr>
        <w:t>、</w:t>
      </w:r>
      <w:r>
        <w:rPr>
          <w:rFonts w:hint="eastAsia" w:ascii="仿宋" w:hAnsi="仿宋" w:eastAsia="仿宋" w:cs="仿宋"/>
          <w:kern w:val="0"/>
          <w:sz w:val="28"/>
          <w:szCs w:val="28"/>
        </w:rPr>
        <w:t>未纳入治疗的耐药结核病患者数据的运营服务</w:t>
      </w:r>
      <w:r>
        <w:rPr>
          <w:rFonts w:hint="eastAsia" w:ascii="仿宋" w:hAnsi="仿宋" w:eastAsia="仿宋" w:cs="仿宋"/>
          <w:kern w:val="0"/>
          <w:sz w:val="28"/>
          <w:szCs w:val="28"/>
        </w:rPr>
        <w:t>、</w:t>
      </w:r>
      <w:r>
        <w:rPr>
          <w:rFonts w:hint="eastAsia" w:ascii="仿宋" w:hAnsi="仿宋" w:eastAsia="仿宋" w:cs="仿宋"/>
          <w:kern w:val="0"/>
          <w:sz w:val="28"/>
          <w:szCs w:val="28"/>
        </w:rPr>
        <w:t>治疗通知单下发管理数据整理运营</w:t>
      </w:r>
      <w:r>
        <w:rPr>
          <w:rFonts w:hint="eastAsia" w:ascii="仿宋" w:hAnsi="仿宋" w:eastAsia="仿宋" w:cs="仿宋"/>
          <w:kern w:val="0"/>
          <w:sz w:val="28"/>
          <w:szCs w:val="28"/>
        </w:rPr>
        <w:t>、</w:t>
      </w:r>
      <w:r>
        <w:rPr>
          <w:rFonts w:hint="eastAsia" w:ascii="仿宋" w:hAnsi="仿宋" w:eastAsia="仿宋" w:cs="仿宋"/>
          <w:kern w:val="0"/>
          <w:sz w:val="28"/>
          <w:szCs w:val="28"/>
        </w:rPr>
        <w:t>耐药监测采集数据分析服务</w:t>
      </w:r>
      <w:r>
        <w:rPr>
          <w:rFonts w:hint="eastAsia" w:ascii="仿宋" w:hAnsi="仿宋" w:eastAsia="仿宋" w:cs="仿宋"/>
          <w:kern w:val="0"/>
          <w:sz w:val="28"/>
          <w:szCs w:val="28"/>
        </w:rPr>
        <w:t>、</w:t>
      </w:r>
      <w:r>
        <w:rPr>
          <w:rFonts w:hint="eastAsia" w:ascii="仿宋" w:hAnsi="仿宋" w:eastAsia="仿宋" w:cs="仿宋"/>
          <w:kern w:val="0"/>
          <w:sz w:val="28"/>
          <w:szCs w:val="28"/>
        </w:rPr>
        <w:t>学校结核病数据整理运营服务</w:t>
      </w:r>
      <w:r>
        <w:rPr>
          <w:rFonts w:hint="eastAsia" w:ascii="仿宋" w:hAnsi="仿宋" w:eastAsia="仿宋" w:cs="仿宋"/>
          <w:kern w:val="0"/>
          <w:sz w:val="28"/>
          <w:szCs w:val="28"/>
          <w:lang w:eastAsia="zh-Hans"/>
        </w:rPr>
        <w:t>。</w:t>
      </w:r>
    </w:p>
    <w:p w14:paraId="53223F7E">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4.</w:t>
      </w:r>
      <w:r>
        <w:rPr>
          <w:rFonts w:hint="eastAsia" w:ascii="仿宋" w:hAnsi="仿宋" w:eastAsia="仿宋" w:cs="仿宋"/>
          <w:kern w:val="0"/>
          <w:sz w:val="28"/>
          <w:szCs w:val="28"/>
          <w:lang w:val="en-US" w:eastAsia="zh-CN"/>
        </w:rPr>
        <w:t>3</w:t>
      </w:r>
      <w:r>
        <w:rPr>
          <w:rFonts w:hint="eastAsia" w:ascii="仿宋" w:hAnsi="仿宋" w:eastAsia="仿宋" w:cs="仿宋"/>
          <w:kern w:val="0"/>
          <w:sz w:val="28"/>
          <w:szCs w:val="28"/>
          <w:lang w:eastAsia="zh-Hans"/>
        </w:rPr>
        <w:t>.3.网络安全运营服务</w:t>
      </w:r>
    </w:p>
    <w:p w14:paraId="1D8A73C4">
      <w:pPr>
        <w:widowControl/>
        <w:ind w:firstLine="560" w:firstLineChars="200"/>
        <w:jc w:val="left"/>
        <w:rPr>
          <w:rFonts w:hint="eastAsia" w:ascii="仿宋" w:hAnsi="仿宋" w:eastAsia="仿宋" w:cs="仿宋"/>
          <w:kern w:val="0"/>
          <w:sz w:val="28"/>
          <w:szCs w:val="28"/>
          <w:lang w:eastAsia="zh-CN"/>
        </w:rPr>
      </w:pPr>
      <w:r>
        <w:rPr>
          <w:rFonts w:hint="eastAsia" w:ascii="仿宋" w:hAnsi="仿宋" w:eastAsia="仿宋" w:cs="仿宋"/>
          <w:kern w:val="0"/>
          <w:sz w:val="28"/>
          <w:szCs w:val="28"/>
          <w:lang w:eastAsia="zh-Hans"/>
        </w:rPr>
        <w:t>1安全加固服务：</w:t>
      </w:r>
      <w:r>
        <w:rPr>
          <w:rFonts w:hint="eastAsia" w:ascii="仿宋" w:hAnsi="仿宋" w:eastAsia="仿宋" w:cs="仿宋"/>
          <w:kern w:val="0"/>
          <w:sz w:val="28"/>
          <w:szCs w:val="28"/>
          <w:lang w:eastAsia="zh-Hans"/>
        </w:rPr>
        <w:t>根据安全加固列表，对目标系统的安全漏洞进行修复、配置隐患进行优化的过程。加固内容包括但不限于系统补丁、防火墙、防病毒、危险服务、共享、自动播放、密码安全</w:t>
      </w:r>
      <w:r>
        <w:rPr>
          <w:rFonts w:hint="eastAsia" w:ascii="仿宋" w:hAnsi="仿宋" w:eastAsia="仿宋" w:cs="仿宋"/>
          <w:kern w:val="0"/>
          <w:sz w:val="28"/>
          <w:szCs w:val="28"/>
          <w:lang w:eastAsia="zh-CN"/>
        </w:rPr>
        <w:t>；</w:t>
      </w:r>
      <w:r>
        <w:rPr>
          <w:rFonts w:hint="eastAsia" w:ascii="仿宋" w:hAnsi="仿宋" w:eastAsia="仿宋" w:cs="仿宋"/>
          <w:kern w:val="0"/>
          <w:sz w:val="28"/>
          <w:szCs w:val="28"/>
          <w:lang w:val="en-GB" w:eastAsia="zh-CN"/>
        </w:rPr>
        <w:t>根据三级等保测评及密码应用安全差距分析、监管单位例行安全扫描检查结果，针对主机、中间件、数据库、应用系统等各种威胁风险、安全隐患、配置缺陷、安全漏洞等不合规项进行整改、处置和加固。</w:t>
      </w:r>
    </w:p>
    <w:p w14:paraId="5A9234C9">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2安全监测及响应服务：</w:t>
      </w:r>
      <w:r>
        <w:rPr>
          <w:rFonts w:hint="eastAsia" w:ascii="仿宋" w:hAnsi="仿宋" w:eastAsia="仿宋" w:cs="仿宋"/>
          <w:kern w:val="0"/>
          <w:sz w:val="28"/>
          <w:szCs w:val="28"/>
          <w:lang w:eastAsia="zh-Hans"/>
        </w:rPr>
        <w:t>开展系统日常安全监控工作，筛选过滤安全告警日志，记录并统计告警信息，协助告警信息的通告下发，定期跟踪事件处置情况等，当发生重大安全事件进行应急响应处理，定期向用户提供信息安全咨询等工作，确保系统的保密性、完整性、可用性不被破坏，减少经济损失。</w:t>
      </w:r>
    </w:p>
    <w:p w14:paraId="4B4BA532">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5.服务要求</w:t>
      </w:r>
    </w:p>
    <w:p w14:paraId="18169093">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5.1.技术要求</w:t>
      </w:r>
    </w:p>
    <w:p w14:paraId="551C7889">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5.1.1.总体技术要求</w:t>
      </w:r>
    </w:p>
    <w:p w14:paraId="72A881DA">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本项目需结合广东省结核病控制中心及全省结控相关部门网络现状、政务云资源、应用系统现状等重点难点，依照下方总体技术要求进行分析。</w:t>
      </w:r>
    </w:p>
    <w:p w14:paraId="57A7EDFC">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1、安全性。在系统建设方案设计时，依托国家电子政务建设的各种信息技术标准（环境、技术、信息、安全、信息交换标准等），制订项目各项技术标准，结合电子政务应用的特点，强化信息安全建设。</w:t>
      </w:r>
    </w:p>
    <w:p w14:paraId="190F255D">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2、开放性。系统设计遵循开放性原则，能够支持多种硬件设备和网络系统，软硬件支持二次开发。各系统采用标准数据接口，具有与其他信息系统进行数据交换和数据共享的能力，并提供数据接口测试用例，确保数据接口的可用性。</w:t>
      </w:r>
    </w:p>
    <w:p w14:paraId="3FDA0990">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3、可扩展性。系统具备良好的输入输出接口，可为各种增值业务提供接口。要考虑到业务未来发展的需要，各个功能模块间的耦合度小，便于系统的扩展。</w:t>
      </w:r>
    </w:p>
    <w:p w14:paraId="5AE8B6DE">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4、可伸缩性。在系统扩展成长过程中，软件能够保证旺盛的生命力，通过很少的改动甚至只是硬件设备的添置，就能实现整个系统处理能力的线性增长，实现高吞吐量和低延迟高性能。</w:t>
      </w:r>
    </w:p>
    <w:p w14:paraId="2B46ADB5">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5、可移植性。要充分考虑系统的跨平台、跨系统、跨应用和在各种操作系统、不同的中间件平台上可移植。</w:t>
      </w:r>
    </w:p>
    <w:p w14:paraId="3DB791FC">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6、可维护性。须保证整个系统的可管理性，以降低管理、维护成本。系统的服务器平台、网络平台、系统软件都应提供方便、灵活的维护手段，方便应用人员的维护和管理。</w:t>
      </w:r>
    </w:p>
    <w:p w14:paraId="290032EF">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7、易用性。针对不同层面的使用者的应用水平，充分考虑系统的易用性，保障本项目实施后的应用与推广。系统统一各服务的界面风格，统一用户操作流程，统一用户体验。界面设计要美观、友好、贴近用户习惯,功能模块布局要求合理、实用、方便、条理清晰。</w:t>
      </w:r>
    </w:p>
    <w:p w14:paraId="1384B3B9">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8、架构设计：系统架构应进行细化设计，采多层框架式结构，基于组件式的应用开发，应用系统在基础支撑层、数据资源层、应用支撑层、应用层的基础上构建，使总体架构具备高度灵活性、可重用性。</w:t>
      </w:r>
    </w:p>
    <w:p w14:paraId="7164D76E">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5.1.2.技术路线</w:t>
      </w:r>
    </w:p>
    <w:p w14:paraId="543CC603">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本项目及存量项目中的应用服务器、数据库服务器、中间件、操作系统、密码池等部署需满足省政务云要求并完成适配工作。主要包括如下：</w:t>
      </w:r>
    </w:p>
    <w:p w14:paraId="195813BE">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1、系统采用B/S架构，基于微服务框架、Java开发语言进行开发，针对不兼容功能模块进行适配改造的方式完成系统迁移，满足易用性、高可用和高并发要求，满足国家信息化建设安全可靠可信等要求。</w:t>
      </w:r>
    </w:p>
    <w:p w14:paraId="5E154C30">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2、主要通过优化数据读取方式、构建数据缓存机制、采用集群部署模式实现高可用和高并发。</w:t>
      </w:r>
    </w:p>
    <w:p w14:paraId="10F5D0A6">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3、基于安全可靠路线统筹建设各系统所需、省级政务云平台尚未提供的中间件，包括web服务器中间件、文件存储中间件、缓存中间件。</w:t>
      </w:r>
    </w:p>
    <w:p w14:paraId="1BECD43B">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4、通过安全可靠的基础开发环境，实现统一的项目、需求、代码、测试、运维监测管理，在开发环节即开始解决适配、知识产权的问题，实现知识资产全过程管理。</w:t>
      </w:r>
    </w:p>
    <w:p w14:paraId="4875BA8D">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5、构建安全可靠的数据安全防护体系，做好人员、技术和管理制度的有机结合，有效防范数据风险。</w:t>
      </w:r>
    </w:p>
    <w:p w14:paraId="6ADE8B15">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5.1.3.性能要求</w:t>
      </w:r>
    </w:p>
    <w:p w14:paraId="4BD22932">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系统应支持和满足高可用性，高并发性，并能支撑大数据吞吐和负载，达到如下目标：</w:t>
      </w:r>
    </w:p>
    <w:p w14:paraId="0D4D08D4">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1、并发性</w:t>
      </w:r>
    </w:p>
    <w:p w14:paraId="3A81EF70">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（1）数据库并发：支撑超过300个用户的并发访问能力。</w:t>
      </w:r>
    </w:p>
    <w:p w14:paraId="705ED8AB">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（2）访问并发：管理端平台具备不少于100个访问在并发的能力。</w:t>
      </w:r>
    </w:p>
    <w:p w14:paraId="6E551D7D">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2、响应特性</w:t>
      </w:r>
    </w:p>
    <w:p w14:paraId="06229841">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（1）系统界面的操作反应时间不高于6秒，统计报表类操作反应时间不高于20秒。</w:t>
      </w:r>
    </w:p>
    <w:p w14:paraId="35CB1A75">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（2）对客户输入的数据进行合法性检查，确保流程的通畅性，并且能够对错误数据进行自动纠错处理。</w:t>
      </w:r>
    </w:p>
    <w:p w14:paraId="3A164EA5">
      <w:pPr>
        <w:widowControl/>
        <w:ind w:firstLine="560" w:firstLineChars="200"/>
        <w:jc w:val="left"/>
        <w:rPr>
          <w:rFonts w:hint="eastAsia" w:ascii="仿宋" w:hAnsi="仿宋" w:eastAsia="仿宋" w:cs="仿宋"/>
          <w:kern w:val="0"/>
          <w:sz w:val="28"/>
          <w:szCs w:val="28"/>
          <w:highlight w:val="none"/>
          <w:lang w:eastAsia="zh-Hans"/>
        </w:rPr>
      </w:pPr>
      <w:r>
        <w:rPr>
          <w:rFonts w:hint="eastAsia" w:ascii="仿宋" w:hAnsi="仿宋" w:eastAsia="仿宋" w:cs="仿宋"/>
          <w:kern w:val="0"/>
          <w:sz w:val="28"/>
          <w:szCs w:val="28"/>
          <w:highlight w:val="none"/>
          <w:lang w:eastAsia="zh-Hans"/>
        </w:rPr>
        <w:t>5.1.4.运维要求</w:t>
      </w:r>
    </w:p>
    <w:p w14:paraId="2988980D">
      <w:pPr>
        <w:widowControl/>
        <w:ind w:firstLine="560" w:firstLineChars="200"/>
        <w:jc w:val="left"/>
        <w:rPr>
          <w:rFonts w:hint="eastAsia" w:ascii="仿宋" w:hAnsi="仿宋" w:eastAsia="仿宋" w:cs="仿宋"/>
          <w:kern w:val="0"/>
          <w:sz w:val="28"/>
          <w:szCs w:val="28"/>
          <w:highlight w:val="none"/>
          <w:lang w:eastAsia="zh-Hans"/>
        </w:rPr>
      </w:pPr>
      <w:r>
        <w:rPr>
          <w:rFonts w:hint="eastAsia" w:ascii="仿宋" w:hAnsi="仿宋" w:eastAsia="仿宋" w:cs="仿宋"/>
          <w:kern w:val="0"/>
          <w:sz w:val="28"/>
          <w:szCs w:val="28"/>
          <w:highlight w:val="none"/>
          <w:lang w:eastAsia="zh-Hans"/>
        </w:rPr>
        <w:t>运维服务以日常巡检与运行维护管理工作为核心，以事件跟踪为主线，以解决应用软件系统出现的故障问题为首要任务，以提升软件高可用性、强安全性与高可靠性为目标，提供一个高效、规范的运维管理服务。</w:t>
      </w:r>
    </w:p>
    <w:p w14:paraId="30BA2CAB">
      <w:pPr>
        <w:widowControl/>
        <w:ind w:firstLine="560" w:firstLineChars="200"/>
        <w:jc w:val="left"/>
        <w:rPr>
          <w:rFonts w:hint="eastAsia" w:ascii="仿宋" w:hAnsi="仿宋" w:eastAsia="仿宋" w:cs="仿宋"/>
          <w:kern w:val="0"/>
          <w:sz w:val="28"/>
          <w:szCs w:val="28"/>
          <w:highlight w:val="none"/>
          <w:lang w:eastAsia="zh-Hans"/>
        </w:rPr>
      </w:pPr>
      <w:r>
        <w:rPr>
          <w:rFonts w:hint="eastAsia" w:ascii="仿宋" w:hAnsi="仿宋" w:eastAsia="仿宋" w:cs="仿宋"/>
          <w:kern w:val="0"/>
          <w:sz w:val="28"/>
          <w:szCs w:val="28"/>
          <w:highlight w:val="none"/>
          <w:lang w:eastAsia="zh-Hans"/>
        </w:rPr>
        <w:t>1、应用系统巡检：应依照巡检流程，主要针对应用系统的进程状态、服务或端口响应情况、资源消耗情况、会话内容情况、日志和告警信息、数据库连接情况、存储连接情况和作业执行情况、业务系统功能、作业计划、系统日志、系统环境、系统负载或者系统数据等方面进行巡检管理。</w:t>
      </w:r>
    </w:p>
    <w:p w14:paraId="19C1328F">
      <w:pPr>
        <w:widowControl/>
        <w:ind w:firstLine="560" w:firstLineChars="200"/>
        <w:jc w:val="left"/>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lang w:eastAsia="zh-Hans"/>
        </w:rPr>
        <w:t>2、应用系统运维：应包括日常维护、监控告警、故障处理、性能调优、零星需求管理、配置信息管理、重点保障等方面对应用系统进行运维</w:t>
      </w:r>
      <w:r>
        <w:rPr>
          <w:rFonts w:hint="eastAsia" w:ascii="仿宋" w:hAnsi="仿宋" w:eastAsia="仿宋" w:cs="仿宋"/>
          <w:kern w:val="0"/>
          <w:sz w:val="28"/>
          <w:szCs w:val="28"/>
          <w:highlight w:val="none"/>
          <w:lang w:eastAsia="zh-CN"/>
        </w:rPr>
        <w:t>。</w:t>
      </w:r>
    </w:p>
    <w:p w14:paraId="4B610763">
      <w:pPr>
        <w:widowControl/>
        <w:ind w:firstLine="560" w:firstLineChars="200"/>
        <w:jc w:val="left"/>
        <w:rPr>
          <w:rFonts w:hint="eastAsia" w:ascii="仿宋" w:hAnsi="仿宋" w:eastAsia="仿宋" w:cs="仿宋"/>
          <w:kern w:val="0"/>
          <w:sz w:val="28"/>
          <w:szCs w:val="28"/>
          <w:highlight w:val="none"/>
          <w:lang w:eastAsia="zh-Hans"/>
        </w:rPr>
      </w:pPr>
      <w:r>
        <w:rPr>
          <w:rFonts w:hint="eastAsia" w:ascii="仿宋" w:hAnsi="仿宋" w:eastAsia="仿宋" w:cs="仿宋"/>
          <w:kern w:val="0"/>
          <w:sz w:val="28"/>
          <w:szCs w:val="28"/>
          <w:highlight w:val="none"/>
          <w:lang w:eastAsia="zh-Hans"/>
        </w:rPr>
        <w:t>3、应用安全运维：应提供软件安全开发生命周期建设服务、应用安全评估服务、应用安全运营服务和业务安全防护服务。包括但不限于安全开发流程建设、应用渗透测试、应用漏洞扫描、应用配置核查、应用代码审计、日志安全分析、应急演练、应急响应、注册登录保护等服务，确保软件安全稳定高效运行。</w:t>
      </w:r>
    </w:p>
    <w:p w14:paraId="48234A14">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5.1.5.安全要求</w:t>
      </w:r>
    </w:p>
    <w:p w14:paraId="51C8AB9D">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本项目按照信息安全三级等级保护要求进行，并协助采购人在管理方面达到信息安全三级等级保护要求。</w:t>
      </w:r>
    </w:p>
    <w:p w14:paraId="67D16F4F">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本项目需完成商用密码安全性评估，并协助采购人在管理方面在密码管理部门完成备案等工作。</w:t>
      </w:r>
    </w:p>
    <w:p w14:paraId="4D341C77">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5.1.6.测试要求</w:t>
      </w:r>
    </w:p>
    <w:p w14:paraId="59DCE04B">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投标人应承诺，定制开发的软件成果需接受采购人采购的第三方测试机构的测试。系统在上线前应该经过各单元测试、集成测试、功能测试、性能测试，以保证系统符合建设要求。测试内容包括但不限于软件开发的内容，具体的测试结果需要经过三方确认。</w:t>
      </w:r>
    </w:p>
    <w:p w14:paraId="1B718CA8">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5.2.管理要求</w:t>
      </w:r>
    </w:p>
    <w:p w14:paraId="0B15CE99">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5.2.1.服务人员</w:t>
      </w:r>
    </w:p>
    <w:p w14:paraId="5B45E57A">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本项目要求有1名项目经理服务人员驻场。派驻现场的项目经理须为投标人本单位员工，投标时提供2025年10月以来任意一个月投标人为其缴纳的社保证明（须至少体现养老保险）材料复印件。</w:t>
      </w:r>
    </w:p>
    <w:p w14:paraId="0691BEA1">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投标人须书面承诺，如在项目实际执行过程中发生项目经理不能按采购文件要求胜任相关工作的，采购人有权要求更换项目经理，投标人需在两周内调整为符合采购文件要求且能胜任相关工作的项目经理并到位开展工作，否则采购人有权终止合同并报相关管理部门进行处理。</w:t>
      </w:r>
    </w:p>
    <w:p w14:paraId="5C2A59BF">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投标人指派的项目经理应具备专业的项目管理能力</w:t>
      </w:r>
      <w:r>
        <w:rPr>
          <w:rFonts w:hint="eastAsia" w:ascii="仿宋" w:hAnsi="仿宋" w:eastAsia="仿宋" w:cs="仿宋"/>
          <w:kern w:val="0"/>
          <w:sz w:val="28"/>
          <w:szCs w:val="28"/>
        </w:rPr>
        <w:t>、系统规划能力、系统运维能力，具有信息化系统开发、运维或运营类项目经验，</w:t>
      </w:r>
      <w:r>
        <w:rPr>
          <w:rFonts w:hint="eastAsia" w:ascii="仿宋" w:hAnsi="仿宋" w:eastAsia="仿宋" w:cs="仿宋"/>
          <w:kern w:val="0"/>
          <w:sz w:val="28"/>
          <w:szCs w:val="28"/>
          <w:lang w:eastAsia="zh-Hans"/>
        </w:rPr>
        <w:t>具备</w:t>
      </w:r>
      <w:r>
        <w:rPr>
          <w:rFonts w:hint="eastAsia" w:ascii="仿宋" w:hAnsi="仿宋" w:eastAsia="仿宋" w:cs="仿宋"/>
          <w:kern w:val="0"/>
          <w:sz w:val="28"/>
          <w:szCs w:val="28"/>
          <w:lang w:eastAsia="zh-Hans"/>
        </w:rPr>
        <w:t>项目管理师证书（计算机技术与软件专业技术资格）</w:t>
      </w:r>
      <w:r>
        <w:rPr>
          <w:rFonts w:hint="eastAsia" w:ascii="仿宋" w:hAnsi="仿宋" w:eastAsia="仿宋" w:cs="仿宋"/>
          <w:kern w:val="0"/>
          <w:sz w:val="28"/>
          <w:szCs w:val="28"/>
          <w:lang w:eastAsia="zh-Hans"/>
        </w:rPr>
        <w:t>、</w:t>
      </w:r>
      <w:r>
        <w:rPr>
          <w:rFonts w:hint="eastAsia" w:ascii="仿宋" w:hAnsi="仿宋" w:eastAsia="仿宋" w:cs="仿宋"/>
          <w:kern w:val="0"/>
          <w:sz w:val="28"/>
          <w:szCs w:val="28"/>
          <w:lang w:eastAsia="zh-Hans"/>
        </w:rPr>
        <w:t>系统架构设计师证书（计算机技术与软件专业技术资格）</w:t>
      </w:r>
      <w:r>
        <w:rPr>
          <w:rFonts w:hint="eastAsia" w:ascii="仿宋" w:hAnsi="仿宋" w:eastAsia="仿宋" w:cs="仿宋"/>
          <w:kern w:val="0"/>
          <w:sz w:val="28"/>
          <w:szCs w:val="28"/>
        </w:rPr>
        <w:t>、高级工程师职称证书</w:t>
      </w:r>
      <w:r>
        <w:rPr>
          <w:rFonts w:hint="eastAsia" w:ascii="仿宋" w:hAnsi="仿宋" w:eastAsia="仿宋" w:cs="仿宋"/>
          <w:kern w:val="0"/>
          <w:sz w:val="28"/>
          <w:szCs w:val="28"/>
          <w:lang w:eastAsia="zh-Hans"/>
        </w:rPr>
        <w:t>等证明。</w:t>
      </w:r>
    </w:p>
    <w:p w14:paraId="6DD919C4">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投标人承诺的项目经理和开发实施的主要人员未经用户同意不得调整；投标人如中途更换项目经理和主要开发技术人员，应征得用户同意，否则采购人有权终止合同。</w:t>
      </w:r>
    </w:p>
    <w:p w14:paraId="7D89871E">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本项目要求有</w:t>
      </w:r>
      <w:r>
        <w:rPr>
          <w:rFonts w:hint="eastAsia" w:ascii="仿宋" w:hAnsi="仿宋" w:eastAsia="仿宋" w:cs="仿宋"/>
          <w:kern w:val="0"/>
          <w:sz w:val="28"/>
          <w:szCs w:val="28"/>
          <w:lang w:eastAsia="zh-Hans"/>
        </w:rPr>
        <w:t>1名</w:t>
      </w:r>
      <w:r>
        <w:rPr>
          <w:rFonts w:hint="eastAsia" w:ascii="仿宋" w:hAnsi="仿宋" w:eastAsia="仿宋" w:cs="仿宋"/>
          <w:kern w:val="0"/>
          <w:sz w:val="28"/>
          <w:szCs w:val="28"/>
        </w:rPr>
        <w:t>专职技术负责人</w:t>
      </w:r>
      <w:r>
        <w:rPr>
          <w:rFonts w:hint="eastAsia" w:ascii="仿宋" w:hAnsi="仿宋" w:eastAsia="仿宋" w:cs="仿宋"/>
          <w:kern w:val="0"/>
          <w:sz w:val="28"/>
          <w:szCs w:val="28"/>
          <w:lang w:eastAsia="zh-Hans"/>
        </w:rPr>
        <w:t>。</w:t>
      </w:r>
      <w:r>
        <w:rPr>
          <w:rFonts w:hint="eastAsia" w:ascii="仿宋" w:hAnsi="仿宋" w:eastAsia="仿宋" w:cs="仿宋"/>
          <w:kern w:val="0"/>
          <w:sz w:val="28"/>
          <w:szCs w:val="28"/>
        </w:rPr>
        <w:t>技术负责人</w:t>
      </w:r>
      <w:r>
        <w:rPr>
          <w:rFonts w:hint="eastAsia" w:ascii="仿宋" w:hAnsi="仿宋" w:eastAsia="仿宋" w:cs="仿宋"/>
          <w:kern w:val="0"/>
          <w:sz w:val="28"/>
          <w:szCs w:val="28"/>
          <w:lang w:eastAsia="zh-Hans"/>
        </w:rPr>
        <w:t>须为投标人本单位员工，投标时提供2025年10月以来任意一个月投标人为其缴纳的社保证明（须至少体现养老保险）材料复印件。</w:t>
      </w:r>
    </w:p>
    <w:p w14:paraId="1BCBFB11">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本项目涉及软件开发、系统运维、系统业务运营三大服务类型，</w:t>
      </w:r>
      <w:r>
        <w:rPr>
          <w:rFonts w:hint="eastAsia" w:ascii="仿宋" w:hAnsi="仿宋" w:eastAsia="仿宋" w:cs="仿宋"/>
          <w:kern w:val="0"/>
          <w:sz w:val="28"/>
          <w:szCs w:val="28"/>
        </w:rPr>
        <w:t>需配备专职技术负责人，技术负责人应具备专业的项目管理能力、系统规划能力、系统运维能力，具备</w:t>
      </w:r>
      <w:r>
        <w:rPr>
          <w:rFonts w:hint="eastAsia" w:ascii="仿宋" w:hAnsi="仿宋" w:eastAsia="仿宋" w:cs="仿宋"/>
          <w:kern w:val="0"/>
          <w:sz w:val="28"/>
          <w:szCs w:val="28"/>
        </w:rPr>
        <w:t>2022年1月1日以来（以合同签订时间为准）的信息化系统开发、运维或运营类项目经验，</w:t>
      </w:r>
      <w:r>
        <w:rPr>
          <w:rFonts w:hint="eastAsia" w:ascii="仿宋" w:hAnsi="仿宋" w:eastAsia="仿宋" w:cs="仿宋"/>
          <w:kern w:val="0"/>
          <w:sz w:val="28"/>
          <w:szCs w:val="28"/>
        </w:rPr>
        <w:t>具备系统分析师证书（计算机技术与软件专业技术资格）、系统架构设计师证书（计算机技术与软件专业技术资格）、软件设计师证书（计算机技术与软件专业技术资格）等证明。</w:t>
      </w:r>
    </w:p>
    <w:p w14:paraId="225CC742">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投标人指派的团队中，因本项目涉及软件开发、系统运维、系统业务运营三大服务类型，覆盖软件开发、数据库管理、项目集成管理、测试管理、系统架构设计、系统分析设计、项目规划、网络管理等方面，要求</w:t>
      </w:r>
      <w:r>
        <w:rPr>
          <w:rFonts w:hint="eastAsia" w:ascii="仿宋" w:hAnsi="仿宋" w:eastAsia="仿宋" w:cs="仿宋"/>
          <w:kern w:val="0"/>
          <w:sz w:val="28"/>
          <w:szCs w:val="28"/>
          <w:lang w:eastAsia="zh-Hans"/>
        </w:rPr>
        <w:t>服务团队技术人员（不包含项目经理与技术负责人）</w:t>
      </w:r>
      <w:r>
        <w:rPr>
          <w:rFonts w:hint="eastAsia" w:ascii="仿宋" w:hAnsi="仿宋" w:eastAsia="仿宋" w:cs="仿宋"/>
          <w:kern w:val="0"/>
          <w:sz w:val="28"/>
          <w:szCs w:val="28"/>
          <w:lang w:eastAsia="zh-Hans"/>
        </w:rPr>
        <w:t>需具备</w:t>
      </w:r>
      <w:r>
        <w:rPr>
          <w:rFonts w:hint="eastAsia" w:ascii="仿宋" w:hAnsi="仿宋" w:eastAsia="仿宋" w:cs="仿宋"/>
          <w:kern w:val="0"/>
          <w:sz w:val="28"/>
          <w:szCs w:val="28"/>
          <w:lang w:eastAsia="zh-Hans"/>
        </w:rPr>
        <w:t>数据库系统工程师证书（计算机技术与软件专业技术资格）</w:t>
      </w:r>
      <w:r>
        <w:rPr>
          <w:rFonts w:hint="eastAsia" w:ascii="仿宋" w:hAnsi="仿宋" w:eastAsia="仿宋" w:cs="仿宋"/>
          <w:kern w:val="0"/>
          <w:sz w:val="28"/>
          <w:szCs w:val="28"/>
        </w:rPr>
        <w:t>、信息安全工程师证书（计算机技术与软件专业技术资格）、系统分析师证书（计算机技术与软件专业技术资格）、系统架构设计师证书（计算机技术与软件专业技术资格）、系统规划与管理师证书（计算机技术与软件专业技术资格）、网络规划设计师证书（计算机技术与软件专业技术资格）、软件设计师证书（计算机技术与软件专业技术资格）、系统集成项目管理工程师证书（计算机技术与软件专业技术资格）</w:t>
      </w:r>
      <w:r>
        <w:rPr>
          <w:rFonts w:hint="eastAsia" w:ascii="仿宋" w:hAnsi="仿宋" w:eastAsia="仿宋" w:cs="仿宋"/>
          <w:kern w:val="0"/>
          <w:sz w:val="28"/>
          <w:szCs w:val="28"/>
          <w:lang w:eastAsia="zh-Hans"/>
        </w:rPr>
        <w:t>。</w:t>
      </w:r>
    </w:p>
    <w:p w14:paraId="7E2720B2">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投标人应指派固定的团队为本项目提供专业服务，如须调整服务团队成员，须书面向采购人提出申请，说明申请理由，经采购人书面同意方可调整团队人员，调入人员的资历和从业经验不低于调出人员，否则视为违约行为，采购人有权终止服务合同。</w:t>
      </w:r>
    </w:p>
    <w:p w14:paraId="41CBD0AD">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5.2.2.进度要求</w:t>
      </w:r>
    </w:p>
    <w:p w14:paraId="513EC99A">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项目周期为12个月，具体时间以项目合同为准。</w:t>
      </w:r>
    </w:p>
    <w:p w14:paraId="6012706C">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5.2.3.组织实施要求</w:t>
      </w:r>
    </w:p>
    <w:p w14:paraId="19AF0DE6">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为使项目按质、按量、按时及有序实施，投标人应建立完善、稳定的项目团队、内部组织管理方式及管理机构、协调机制、技术基础，支撑保障要求及其他相关要求。在机制保障方面，成立组织实施小组和项目专家组的双轨制的组织模式。在项目日常管理和条件保障方面，从行政组织、后勤保障和支撑条件各方面创造良好的服务环境，确保项目的顺利实施。</w:t>
      </w:r>
    </w:p>
    <w:p w14:paraId="4D908569">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5.2.4.文档管理要求</w:t>
      </w:r>
    </w:p>
    <w:p w14:paraId="2BB40999">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投标人应在项目完成时，将本项目所有文档、资料汇集成册交付给采购人，所有文件要求用中文书写或有完整的中文注释。验收后，投标人按国家、省以及采购人档案管理要求，向采购人提供装订成册的纸质文档至少1套，电子文档1套。</w:t>
      </w:r>
    </w:p>
    <w:p w14:paraId="3E92EA86">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5.2.5.质量保证要求</w:t>
      </w:r>
    </w:p>
    <w:p w14:paraId="49FED250">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为保证本项目能按时高质的顺利完成，规避项目风险或将风险降至最低程度，投标人应建立项目质量管理体系，包括但不限于质量目标、质量指标、岗位责任、问题处理计划、质量评价、整改完善等内容。</w:t>
      </w:r>
    </w:p>
    <w:p w14:paraId="02C128F4">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5.3.验收标准</w:t>
      </w:r>
    </w:p>
    <w:p w14:paraId="24328F34">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1.项目服务期满后由采购人和第三方监理公司组织验收。</w:t>
      </w:r>
    </w:p>
    <w:p w14:paraId="5A4C6AFA">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2.投标人响应并提出验收方案和验收文档清单。</w:t>
      </w:r>
    </w:p>
    <w:p w14:paraId="2294CE79">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3.投标人向采购人提供包括但不限于项目进度报告（月报）；项目会议纪要（按实际提供）、巡检报告、故障和问题处理记录/报告、源代码、用户需求说明书、项目设计文档及数据库设计文档以及其他合同约定须提供材料，采购人和第三方监理公司对材料内容进行审核确认。</w:t>
      </w:r>
    </w:p>
    <w:p w14:paraId="4C1FBCFB">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4.投标人向采购人提供服务总结报告，作为最后验收的依据。</w:t>
      </w:r>
    </w:p>
    <w:p w14:paraId="621AC8BD">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5.4.其他要求</w:t>
      </w:r>
    </w:p>
    <w:p w14:paraId="52DC1C21">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5.4.1.培训要求</w:t>
      </w:r>
    </w:p>
    <w:p w14:paraId="2F30A7B5">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1.投标人须提供系统使用方面的培训，培训对象包括采购人和结防机构人员等，培训应该在终验前进行。</w:t>
      </w:r>
    </w:p>
    <w:p w14:paraId="663CF663">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2.投标人需针对用户的角色提供培训课程，如系统管理员、普通用户、领导等角色，安排不同的培训课程。投标人须在响应文件中提出培训课程以及时间表。</w:t>
      </w:r>
    </w:p>
    <w:p w14:paraId="2EC02A74">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3.对于所有培训，投标人须派出具有相应专业资格和实际工作经验的辅导人员进行培训，培训所使用的语言须是中文，否则投标人须提供相应的翻译。</w:t>
      </w:r>
      <w:r>
        <w:rPr>
          <w:rFonts w:hint="eastAsia" w:ascii="仿宋" w:hAnsi="仿宋" w:eastAsia="仿宋" w:cs="仿宋"/>
          <w:kern w:val="0"/>
          <w:sz w:val="28"/>
          <w:szCs w:val="28"/>
          <w:lang w:eastAsia="zh-Hans"/>
        </w:rPr>
        <w:br w:type="textWrapping"/>
      </w:r>
      <w:r>
        <w:rPr>
          <w:rFonts w:hint="eastAsia" w:ascii="仿宋" w:hAnsi="仿宋" w:eastAsia="仿宋" w:cs="仿宋"/>
          <w:kern w:val="0"/>
          <w:sz w:val="28"/>
          <w:szCs w:val="28"/>
          <w:lang w:eastAsia="zh-Hans"/>
        </w:rPr>
        <w:t>4.培训费用（可含场地费、教材费、讲课费等培训组织相关费用）计入总价。</w:t>
      </w:r>
      <w:r>
        <w:rPr>
          <w:rFonts w:hint="eastAsia" w:ascii="仿宋" w:hAnsi="仿宋" w:eastAsia="仿宋" w:cs="仿宋"/>
          <w:kern w:val="0"/>
          <w:sz w:val="28"/>
          <w:szCs w:val="28"/>
          <w:lang w:eastAsia="zh-Hans"/>
        </w:rPr>
        <w:br w:type="textWrapping"/>
      </w:r>
      <w:r>
        <w:rPr>
          <w:rFonts w:hint="eastAsia" w:ascii="仿宋" w:hAnsi="仿宋" w:eastAsia="仿宋" w:cs="仿宋"/>
          <w:kern w:val="0"/>
          <w:sz w:val="28"/>
          <w:szCs w:val="28"/>
          <w:lang w:eastAsia="zh-Hans"/>
        </w:rPr>
        <w:t>5.4.2.服务响应要求</w:t>
      </w:r>
    </w:p>
    <w:p w14:paraId="132705C6">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具体服务响应要求如下：</w:t>
      </w:r>
    </w:p>
    <w:tbl>
      <w:tblPr>
        <w:tblStyle w:val="7"/>
        <w:tblW w:w="10233" w:type="dxa"/>
        <w:tblInd w:w="-69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3354"/>
        <w:gridCol w:w="1622"/>
        <w:gridCol w:w="2134"/>
        <w:gridCol w:w="1746"/>
        <w:gridCol w:w="1377"/>
      </w:tblGrid>
      <w:tr w14:paraId="6E9A135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54"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center"/>
          </w:tcPr>
          <w:p w14:paraId="773C1DB2">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故障级别</w:t>
            </w:r>
          </w:p>
        </w:tc>
        <w:tc>
          <w:tcPr>
            <w:tcW w:w="162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480D6615">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技术人员到场时间</w:t>
            </w:r>
          </w:p>
        </w:tc>
        <w:tc>
          <w:tcPr>
            <w:tcW w:w="2134"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016E0362">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提出解决方案</w:t>
            </w:r>
          </w:p>
        </w:tc>
        <w:tc>
          <w:tcPr>
            <w:tcW w:w="174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09E4681D">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备件到场时间</w:t>
            </w:r>
          </w:p>
        </w:tc>
        <w:tc>
          <w:tcPr>
            <w:tcW w:w="137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center"/>
          </w:tcPr>
          <w:p w14:paraId="504E5D07">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解决时间</w:t>
            </w:r>
          </w:p>
        </w:tc>
      </w:tr>
      <w:tr w14:paraId="193480B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541ADB5">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I级：属于重特大故障：其具体现象</w:t>
            </w:r>
            <w:bookmarkStart w:id="0" w:name="_GoBack"/>
            <w:bookmarkEnd w:id="0"/>
            <w:r>
              <w:rPr>
                <w:rFonts w:hint="eastAsia" w:ascii="仿宋" w:hAnsi="仿宋" w:eastAsia="仿宋" w:cs="仿宋"/>
                <w:color w:val="000000"/>
                <w:kern w:val="0"/>
                <w:sz w:val="28"/>
                <w:szCs w:val="28"/>
                <w:lang w:eastAsia="zh-Hans"/>
              </w:rPr>
              <w:t>为：设备、线路全面瘫痪。</w:t>
            </w:r>
          </w:p>
        </w:tc>
        <w:tc>
          <w:tcPr>
            <w:tcW w:w="162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ACD67D9">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30分钟以内到达现场</w:t>
            </w:r>
          </w:p>
        </w:tc>
        <w:tc>
          <w:tcPr>
            <w:tcW w:w="213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2B87014">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到达现场后1小时内提交故障解决方案</w:t>
            </w:r>
          </w:p>
        </w:tc>
        <w:tc>
          <w:tcPr>
            <w:tcW w:w="174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A8734CC">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提出解决方案后1小时到达现场</w:t>
            </w:r>
          </w:p>
        </w:tc>
        <w:tc>
          <w:tcPr>
            <w:tcW w:w="137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3247B82">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8小时以内</w:t>
            </w:r>
          </w:p>
        </w:tc>
      </w:tr>
      <w:tr w14:paraId="0EBE78D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5A184C3">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II级：属于严重问题；其具体现象为：部分设备、线路发生故障或小面积瘫痪但不影响系统整体运行。</w:t>
            </w:r>
          </w:p>
        </w:tc>
        <w:tc>
          <w:tcPr>
            <w:tcW w:w="162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5071BA">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30分钟以内到达现场</w:t>
            </w:r>
          </w:p>
        </w:tc>
        <w:tc>
          <w:tcPr>
            <w:tcW w:w="213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E09AD20">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到达现场后1小时内提交故障解决方案</w:t>
            </w:r>
          </w:p>
        </w:tc>
        <w:tc>
          <w:tcPr>
            <w:tcW w:w="174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7CDCE06">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提出解决方案后1小时到达现场</w:t>
            </w:r>
          </w:p>
        </w:tc>
        <w:tc>
          <w:tcPr>
            <w:tcW w:w="137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4CBD4C1E">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2小时以内</w:t>
            </w:r>
          </w:p>
        </w:tc>
      </w:tr>
      <w:tr w14:paraId="228C70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06E17023">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III级：属于较严重问题；其具体现象为：小部分设备、线路故障或出现报错、告警或故障。</w:t>
            </w:r>
          </w:p>
        </w:tc>
        <w:tc>
          <w:tcPr>
            <w:tcW w:w="162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D6C47D8">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1小时以内到达现场</w:t>
            </w:r>
          </w:p>
        </w:tc>
        <w:tc>
          <w:tcPr>
            <w:tcW w:w="213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1C0D6348">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到达现场后1小时内提交故障解决方案</w:t>
            </w:r>
          </w:p>
        </w:tc>
        <w:tc>
          <w:tcPr>
            <w:tcW w:w="174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3B05614">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提出解决方案后1小时到达现场</w:t>
            </w:r>
          </w:p>
        </w:tc>
        <w:tc>
          <w:tcPr>
            <w:tcW w:w="137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6EEE017C">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2小时以内</w:t>
            </w:r>
          </w:p>
        </w:tc>
      </w:tr>
      <w:tr w14:paraId="38D0BCF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3354"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center"/>
          </w:tcPr>
          <w:p w14:paraId="13F3E706">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IV级：属于普通问题：其具体现象为：前端监控点单个摄像机故障、前端监控点传输设备或线路故障。</w:t>
            </w:r>
          </w:p>
        </w:tc>
        <w:tc>
          <w:tcPr>
            <w:tcW w:w="1622"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2E1885CF">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1小时内到达现场</w:t>
            </w:r>
          </w:p>
        </w:tc>
        <w:tc>
          <w:tcPr>
            <w:tcW w:w="2134"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0652C125">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即时提交或到达现场后1小时内提交解决方案</w:t>
            </w:r>
          </w:p>
        </w:tc>
        <w:tc>
          <w:tcPr>
            <w:tcW w:w="1746"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54979D48">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视情况而定</w:t>
            </w:r>
          </w:p>
        </w:tc>
        <w:tc>
          <w:tcPr>
            <w:tcW w:w="1377" w:type="dxa"/>
            <w:tcBorders>
              <w:top w:val="nil"/>
              <w:left w:val="nil"/>
              <w:bottom w:val="single" w:color="000000" w:sz="4" w:space="0"/>
              <w:right w:val="single" w:color="000000" w:sz="4" w:space="0"/>
            </w:tcBorders>
            <w:tcMar>
              <w:top w:w="0" w:type="dxa"/>
              <w:left w:w="105" w:type="dxa"/>
              <w:bottom w:w="0" w:type="dxa"/>
              <w:right w:w="105" w:type="dxa"/>
            </w:tcMar>
            <w:vAlign w:val="center"/>
          </w:tcPr>
          <w:p w14:paraId="7E7915B3">
            <w:pPr>
              <w:widowControl/>
              <w:jc w:val="center"/>
              <w:rPr>
                <w:rFonts w:hint="eastAsia" w:ascii="仿宋" w:hAnsi="仿宋" w:eastAsia="仿宋" w:cs="仿宋"/>
                <w:kern w:val="0"/>
                <w:sz w:val="28"/>
                <w:szCs w:val="28"/>
                <w:lang w:eastAsia="zh-Hans"/>
              </w:rPr>
            </w:pPr>
            <w:r>
              <w:rPr>
                <w:rFonts w:hint="eastAsia" w:ascii="仿宋" w:hAnsi="仿宋" w:eastAsia="仿宋" w:cs="仿宋"/>
                <w:color w:val="000000"/>
                <w:kern w:val="0"/>
                <w:sz w:val="28"/>
                <w:szCs w:val="28"/>
                <w:lang w:eastAsia="zh-Hans"/>
              </w:rPr>
              <w:t>2小时以内</w:t>
            </w:r>
          </w:p>
        </w:tc>
      </w:tr>
    </w:tbl>
    <w:p w14:paraId="03CCA4AD">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5.4.3.资产权属</w:t>
      </w:r>
    </w:p>
    <w:p w14:paraId="5E6C1575">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1.本项目所涉及的数据所有权归采购人所有，投标人只能用于履行本项目义务之目的。</w:t>
      </w:r>
    </w:p>
    <w:p w14:paraId="0170E406">
      <w:pPr>
        <w:keepNext w:val="0"/>
        <w:keepLines w:val="0"/>
        <w:pageBreakBefore w:val="0"/>
        <w:widowControl/>
        <w:kinsoku/>
        <w:wordWrap/>
        <w:overflowPunct/>
        <w:topLinePunct w:val="0"/>
        <w:autoSpaceDE/>
        <w:autoSpaceDN/>
        <w:bidi w:val="0"/>
        <w:adjustRightInd/>
        <w:snapToGrid/>
        <w:ind w:left="0" w:leftChars="0" w:firstLine="560" w:firstLineChars="200"/>
        <w:jc w:val="left"/>
        <w:textAlignment w:val="auto"/>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2.本项目不会引起任何已申请、登记的知识产权所有权的转移。</w:t>
      </w:r>
    </w:p>
    <w:p w14:paraId="0D6C3AAE">
      <w:pPr>
        <w:keepNext w:val="0"/>
        <w:keepLines w:val="0"/>
        <w:pageBreakBefore w:val="0"/>
        <w:widowControl/>
        <w:kinsoku/>
        <w:wordWrap/>
        <w:overflowPunct/>
        <w:topLinePunct w:val="0"/>
        <w:autoSpaceDE/>
        <w:autoSpaceDN/>
        <w:bidi w:val="0"/>
        <w:adjustRightInd/>
        <w:snapToGrid/>
        <w:ind w:left="0" w:leftChars="0" w:firstLine="560" w:firstLineChars="200"/>
        <w:jc w:val="left"/>
        <w:textAlignment w:val="auto"/>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3.投标人为履行义务所形成的服务成果的知识产权、系统产权、著作权等归采购人所有。</w:t>
      </w:r>
    </w:p>
    <w:p w14:paraId="2479F2FB">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4.投标人保证向采购人提供的服务成果不存在任何侵犯第三方专利权、商标权、著作权等合法权益。如因投标人提供的服务成果侵犯任何第三方的合法权益，导致该第三方追究采购人责任的，投标人应负责解决并赔偿因此给采购人造成的全部损失。</w:t>
      </w:r>
    </w:p>
    <w:p w14:paraId="4C5710D7">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5.4.4.保密要求</w:t>
      </w:r>
    </w:p>
    <w:p w14:paraId="3948893C">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1.投标人应签订保密协议，对其因身份、职务、职业或技术关系而知悉的采购人商业秘密和党政机关保密信息应严格保守，保证不被披露或使用，包括意外或过失。</w:t>
      </w:r>
    </w:p>
    <w:p w14:paraId="5E00E5A9">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2.投标人不得以竞争为目的、或出于私利、或为第三人谋利而擅自保存、披露、使用采购人商业秘密和党政机关保密信息；不得直接或间接地向无关人员泄露采购人的商业秘密和党政机关保密信息；不得向不承担保密义务的任何第三人披露采购人的商业秘密和党政机关保密信息。投标人在从事政府项目时，不得擅自记录、复制、拍摄、摘抄、收藏在工作中涉及的保密信息，严禁将涉及政府项目的任何资料、数据透露或以其他方式提供给项目以外的其他方或投标人内部与该项目无关的任何人员。</w:t>
      </w:r>
    </w:p>
    <w:p w14:paraId="07A8577E">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3.投标人对于工作期间知悉采购人的商业秘密和党政机关保密信息（包括业务信息在内）或工作过程中接触到的政府机关文件（包括内部发文、各类通知及会议记录等）的内容，同样承担保密责任，严禁将政府机关内部会议、谈话内容泄露给无关人员；不得翻阅与工作无关的文件和资料。</w:t>
      </w:r>
    </w:p>
    <w:p w14:paraId="5F5BF3C3">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4.严禁泄露在工作中接触到的政府机关科技研究、发明、装备器材及其技术资料和政府工作信息。</w:t>
      </w:r>
    </w:p>
    <w:p w14:paraId="28732323">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5.4.5.监理要求</w:t>
      </w:r>
    </w:p>
    <w:p w14:paraId="04E44C60">
      <w:pPr>
        <w:widowControl/>
        <w:ind w:firstLine="560" w:firstLineChars="200"/>
        <w:jc w:val="left"/>
        <w:rPr>
          <w:rFonts w:hint="eastAsia" w:ascii="仿宋" w:hAnsi="仿宋" w:eastAsia="仿宋" w:cs="仿宋"/>
          <w:kern w:val="0"/>
          <w:sz w:val="28"/>
          <w:szCs w:val="28"/>
          <w:lang w:eastAsia="zh-Hans"/>
        </w:rPr>
      </w:pPr>
      <w:r>
        <w:rPr>
          <w:rFonts w:hint="eastAsia" w:ascii="仿宋" w:hAnsi="仿宋" w:eastAsia="仿宋" w:cs="仿宋"/>
          <w:kern w:val="0"/>
          <w:sz w:val="28"/>
          <w:szCs w:val="28"/>
          <w:lang w:eastAsia="zh-Hans"/>
        </w:rPr>
        <w:t>投标人须承诺，在项目开展过程中接受采购人指定的咨询监理机构的监理。</w:t>
      </w:r>
    </w:p>
    <w:p w14:paraId="37F46C87">
      <w:pPr>
        <w:widowControl/>
        <w:ind w:firstLine="480" w:firstLineChars="200"/>
        <w:jc w:val="left"/>
        <w:rPr>
          <w:rFonts w:hint="eastAsia" w:ascii="仿宋" w:hAnsi="仿宋" w:eastAsia="仿宋" w:cs="仿宋"/>
          <w:kern w:val="0"/>
          <w:sz w:val="24"/>
          <w:szCs w:val="24"/>
          <w:lang w:eastAsia="zh-Han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方正小标宋简体">
    <w:altName w:val="方正舒体"/>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5AB"/>
    <w:rsid w:val="0001292C"/>
    <w:rsid w:val="0004201F"/>
    <w:rsid w:val="0007030E"/>
    <w:rsid w:val="000F3C8A"/>
    <w:rsid w:val="001561D9"/>
    <w:rsid w:val="001B63A1"/>
    <w:rsid w:val="001F0E93"/>
    <w:rsid w:val="001F1B09"/>
    <w:rsid w:val="002163F1"/>
    <w:rsid w:val="002C1E39"/>
    <w:rsid w:val="002E6E85"/>
    <w:rsid w:val="00453901"/>
    <w:rsid w:val="004D25AB"/>
    <w:rsid w:val="00540FE0"/>
    <w:rsid w:val="005D3175"/>
    <w:rsid w:val="006A0F21"/>
    <w:rsid w:val="00700348"/>
    <w:rsid w:val="007E107D"/>
    <w:rsid w:val="008D143C"/>
    <w:rsid w:val="00963934"/>
    <w:rsid w:val="00972B78"/>
    <w:rsid w:val="009C6ED8"/>
    <w:rsid w:val="00BA53D0"/>
    <w:rsid w:val="00C97B6D"/>
    <w:rsid w:val="00DB423F"/>
    <w:rsid w:val="00E91317"/>
    <w:rsid w:val="00ED676F"/>
    <w:rsid w:val="00EE2B6C"/>
    <w:rsid w:val="00FA152E"/>
    <w:rsid w:val="0301003D"/>
    <w:rsid w:val="130B3BEE"/>
    <w:rsid w:val="31D91143"/>
    <w:rsid w:val="40633ABD"/>
    <w:rsid w:val="43DE6DD5"/>
    <w:rsid w:val="5F9A00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styleId="3">
    <w:name w:val="Normal Indent"/>
    <w:basedOn w:val="1"/>
    <w:unhideWhenUsed/>
    <w:qFormat/>
    <w:uiPriority w:val="99"/>
    <w:pPr>
      <w:jc w:val="left"/>
    </w:pPr>
    <w:rPr>
      <w:rFonts w:ascii="Calibri" w:hAnsi="Calibri" w:cs="Times New Roman"/>
      <w:sz w:val="21"/>
    </w:rPr>
  </w:style>
  <w:style w:type="paragraph" w:styleId="4">
    <w:name w:val="annotation text"/>
    <w:basedOn w:val="1"/>
    <w:semiHidden/>
    <w:unhideWhenUsed/>
    <w:qFormat/>
    <w:uiPriority w:val="99"/>
    <w:pPr>
      <w:jc w:val="left"/>
    </w:p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qFormat/>
    <w:uiPriority w:val="99"/>
    <w:rPr>
      <w:sz w:val="18"/>
      <w:szCs w:val="18"/>
    </w:rPr>
  </w:style>
  <w:style w:type="character" w:customStyle="1" w:styleId="10">
    <w:name w:val="页脚 字符"/>
    <w:basedOn w:val="8"/>
    <w:link w:val="5"/>
    <w:qFormat/>
    <w:uiPriority w:val="99"/>
    <w:rPr>
      <w:sz w:val="18"/>
      <w:szCs w:val="18"/>
    </w:rPr>
  </w:style>
  <w:style w:type="paragraph" w:customStyle="1" w:styleId="11">
    <w:name w:val="null3"/>
    <w:hidden/>
    <w:qFormat/>
    <w:uiPriority w:val="0"/>
    <w:rPr>
      <w:rFonts w:hint="eastAsia" w:asciiTheme="minorHAnsi" w:hAnsiTheme="minorHAnsi" w:eastAsiaTheme="minorEastAsia" w:cstheme="minorBidi"/>
      <w:kern w:val="0"/>
      <w:sz w:val="20"/>
      <w:szCs w:val="20"/>
      <w:lang w:val="en-US" w:eastAsia="zh-Hans" w:bidi="ar-SA"/>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8964</Words>
  <Characters>9249</Characters>
  <Lines>124</Lines>
  <Paragraphs>35</Paragraphs>
  <TotalTime>7</TotalTime>
  <ScaleCrop>false</ScaleCrop>
  <LinksUpToDate>false</LinksUpToDate>
  <CharactersWithSpaces>9249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2025-10-13T03:31:00Z</dcterms:created>
  <dc:creator>admin</dc:creator>
  <cp:lastModifiedBy>采联-337</cp:lastModifiedBy>
  <dcterms:modified xsi:type="dcterms:W3CDTF">2025-10-30T08:26:33Z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eyJoZGlkIjoiM2NiNjQ2ZjRiZDc4NjZjNDVjYTYzODBjMTk1ZGJjMzYiLCJ1c2VySWQiOiIyODgzODg4ODUifQ==</vt:lpwstr>
  </property>
  <property fmtid="{D5CDD505-2E9C-101B-9397-08002B2CF9AE}" pid="3" name="KSOProductBuildVer">
    <vt:lpwstr>2052-12.1.0.23125</vt:lpwstr>
  </property>
  <property fmtid="{D5CDD505-2E9C-101B-9397-08002B2CF9AE}" pid="4" name="ICV">
    <vt:lpwstr>52F18FBF70724C019A7F6A2DA9EA4C38_13</vt:lpwstr>
  </property>
</Properties>
</file>