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17206">
      <w:pPr>
        <w:pStyle w:val="2"/>
        <w:numPr>
          <w:ilvl w:val="255"/>
          <w:numId w:val="0"/>
        </w:numPr>
        <w:spacing w:before="156" w:after="156"/>
        <w:jc w:val="center"/>
        <w:rPr>
          <w:lang w:val="en-US"/>
        </w:rPr>
      </w:pPr>
      <w:r>
        <w:rPr>
          <w:lang w:val="en-US"/>
        </w:rPr>
        <w:t>采购需求书</w:t>
      </w:r>
    </w:p>
    <w:p w14:paraId="549659A7">
      <w:pPr>
        <w:spacing w:line="360" w:lineRule="auto"/>
        <w:rPr>
          <w:rFonts w:hint="eastAsia" w:ascii="宋体" w:hAnsi="宋体" w:cs="宋体"/>
          <w:sz w:val="24"/>
        </w:rPr>
      </w:pPr>
      <w:r>
        <w:rPr>
          <w:rFonts w:hint="eastAsia" w:ascii="宋体" w:hAnsi="宋体" w:cs="宋体"/>
          <w:sz w:val="24"/>
        </w:rPr>
        <w:t>项目概况与目标</w:t>
      </w:r>
    </w:p>
    <w:p w14:paraId="64F5CE31">
      <w:pPr>
        <w:numPr>
          <w:ilvl w:val="0"/>
          <w:numId w:val="3"/>
        </w:numPr>
        <w:spacing w:line="360" w:lineRule="auto"/>
        <w:ind w:firstLine="480" w:firstLineChars="200"/>
        <w:rPr>
          <w:rFonts w:hint="eastAsia" w:ascii="宋体" w:hAnsi="宋体" w:cs="宋体"/>
          <w:sz w:val="24"/>
        </w:rPr>
      </w:pPr>
      <w:r>
        <w:rPr>
          <w:rFonts w:hint="eastAsia" w:ascii="宋体" w:hAnsi="宋体" w:cs="宋体"/>
          <w:sz w:val="24"/>
        </w:rPr>
        <w:t>项目名称：广东省公共卫生医学中心物业服务服务项目</w:t>
      </w:r>
    </w:p>
    <w:p w14:paraId="4B576F8C">
      <w:pPr>
        <w:numPr>
          <w:ilvl w:val="0"/>
          <w:numId w:val="3"/>
        </w:numPr>
        <w:spacing w:line="360" w:lineRule="auto"/>
        <w:ind w:firstLine="480" w:firstLineChars="200"/>
        <w:rPr>
          <w:rFonts w:hint="eastAsia" w:ascii="宋体" w:hAnsi="宋体" w:cs="宋体"/>
          <w:sz w:val="24"/>
        </w:rPr>
      </w:pPr>
      <w:r>
        <w:rPr>
          <w:rFonts w:hint="eastAsia" w:ascii="宋体" w:hAnsi="宋体" w:cs="宋体"/>
          <w:sz w:val="24"/>
          <w:lang w:eastAsia="zh-CN"/>
        </w:rPr>
        <w:t>项目预算：</w:t>
      </w:r>
      <w:r>
        <w:rPr>
          <w:rFonts w:hint="eastAsia" w:ascii="宋体" w:hAnsi="宋体" w:cs="宋体"/>
          <w:color w:val="auto"/>
          <w:sz w:val="24"/>
          <w:lang w:val="en-US" w:eastAsia="zh-CN"/>
        </w:rPr>
        <w:t>2</w:t>
      </w:r>
      <w:del w:id="0" w:author="cc" w:date="2026-03-06T10:22:37Z">
        <w:r>
          <w:rPr>
            <w:rFonts w:hint="default" w:ascii="宋体" w:hAnsi="宋体" w:cs="宋体"/>
            <w:color w:val="auto"/>
            <w:sz w:val="24"/>
            <w:lang w:val="en-US" w:eastAsia="zh-CN"/>
          </w:rPr>
          <w:delText>82</w:delText>
        </w:r>
      </w:del>
      <w:ins w:id="1" w:author="cc" w:date="2026-03-06T10:22:37Z">
        <w:r>
          <w:rPr>
            <w:rFonts w:hint="eastAsia" w:ascii="宋体" w:hAnsi="宋体" w:cs="宋体"/>
            <w:color w:val="auto"/>
            <w:sz w:val="24"/>
            <w:lang w:val="en-US" w:eastAsia="zh-CN"/>
          </w:rPr>
          <w:t>75</w:t>
        </w:r>
      </w:ins>
      <w:r>
        <w:rPr>
          <w:rFonts w:hint="eastAsia" w:ascii="宋体" w:hAnsi="宋体" w:cs="宋体"/>
          <w:sz w:val="24"/>
          <w:lang w:val="en-US" w:eastAsia="zh-CN"/>
        </w:rPr>
        <w:t>万元/年</w:t>
      </w:r>
    </w:p>
    <w:p w14:paraId="0A078CAB">
      <w:pPr>
        <w:numPr>
          <w:ilvl w:val="0"/>
          <w:numId w:val="3"/>
        </w:numPr>
        <w:spacing w:line="360" w:lineRule="auto"/>
        <w:ind w:firstLine="480" w:firstLineChars="200"/>
        <w:rPr>
          <w:rFonts w:hint="eastAsia" w:ascii="宋体" w:hAnsi="宋体" w:cs="宋体"/>
          <w:sz w:val="24"/>
        </w:rPr>
      </w:pPr>
      <w:r>
        <w:rPr>
          <w:rFonts w:hint="eastAsia" w:ascii="宋体" w:hAnsi="宋体" w:cs="宋体"/>
          <w:sz w:val="24"/>
          <w:lang w:val="en-US" w:eastAsia="zh-CN"/>
        </w:rPr>
        <w:t>服务期限：2年（一年一签，第二年根据考核结果双方协商）</w:t>
      </w:r>
    </w:p>
    <w:p w14:paraId="2D0FF9F1">
      <w:pPr>
        <w:spacing w:line="360" w:lineRule="auto"/>
        <w:ind w:firstLine="480" w:firstLineChars="200"/>
        <w:rPr>
          <w:rFonts w:hint="eastAsia" w:ascii="宋体" w:hAnsi="宋体" w:cs="宋体"/>
          <w:sz w:val="24"/>
        </w:rPr>
      </w:pPr>
      <w:r>
        <w:rPr>
          <w:rFonts w:hint="eastAsia" w:ascii="宋体" w:hAnsi="宋体" w:cs="宋体"/>
          <w:sz w:val="24"/>
          <w:lang w:val="en-US" w:eastAsia="zh-CN"/>
        </w:rPr>
        <w:t>4</w:t>
      </w:r>
      <w:r>
        <w:rPr>
          <w:rFonts w:hint="eastAsia" w:ascii="宋体" w:hAnsi="宋体" w:cs="宋体"/>
          <w:sz w:val="24"/>
        </w:rPr>
        <w:t>.服务地点及基本情况：服务中心本部及各分院区（广州天河、东莞麻涌、东莞莞城、东莞东城）4个服务点。其中天河院区建筑面积约2800平方米，占地面积约1200平方米，主营办公、门诊业务等，配备1个饭堂；麻涌院区占地约1300亩，常用地面积约500亩，常用建筑面积约30000平方米，属医疗康复、行政办公等综合性使用，配备2个饭堂（职工饭堂和</w:t>
      </w:r>
      <w:r>
        <w:rPr>
          <w:rFonts w:hint="eastAsia" w:ascii="宋体" w:hAnsi="宋体" w:cs="宋体"/>
          <w:sz w:val="24"/>
          <w:lang w:eastAsia="zh-CN"/>
        </w:rPr>
        <w:t>康复科</w:t>
      </w:r>
      <w:r>
        <w:rPr>
          <w:rFonts w:hint="eastAsia" w:ascii="宋体" w:hAnsi="宋体" w:cs="宋体"/>
          <w:sz w:val="24"/>
        </w:rPr>
        <w:t>饭堂）；莞城院区占地面积约1500平方米、建筑面积约4000平方米，主营门诊业务；东城院区占地约5000平方米，建筑面积约5000平方米，主营门诊业务，配备1个饭堂，兼顾配送莞城院区职工就餐。</w:t>
      </w:r>
    </w:p>
    <w:p w14:paraId="653B826D">
      <w:pPr>
        <w:spacing w:line="360" w:lineRule="auto"/>
        <w:ind w:firstLine="480" w:firstLineChars="200"/>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.总体目标：通过采购专业化、规范化的物业服务，为中心行政办公、医疗、教学、科研等工作及患者就医创造安全、整洁、舒适、高效的环境，提升中心整体形象与运营保障水平，并严格控制院内感染风险。</w:t>
      </w:r>
    </w:p>
    <w:p w14:paraId="2A733674">
      <w:pPr>
        <w:spacing w:line="360" w:lineRule="auto"/>
        <w:rPr>
          <w:rFonts w:hint="eastAsia" w:ascii="宋体" w:hAnsi="宋体" w:cs="宋体"/>
          <w:sz w:val="24"/>
        </w:rPr>
      </w:pPr>
      <w:r>
        <w:rPr>
          <w:rFonts w:hint="eastAsia" w:ascii="宋体" w:hAnsi="宋体" w:cs="宋体"/>
          <w:sz w:val="24"/>
        </w:rPr>
        <w:t>一、广东省公共卫生医学中心物业服务采购需求</w:t>
      </w:r>
    </w:p>
    <w:p w14:paraId="71FE2274">
      <w:pPr>
        <w:spacing w:line="360" w:lineRule="auto"/>
        <w:rPr>
          <w:rFonts w:hint="eastAsia" w:ascii="宋体" w:hAnsi="宋体" w:cs="宋体"/>
          <w:sz w:val="24"/>
        </w:rPr>
      </w:pPr>
      <w:r>
        <w:rPr>
          <w:rFonts w:hint="eastAsia" w:ascii="宋体" w:hAnsi="宋体" w:cs="宋体"/>
          <w:sz w:val="24"/>
        </w:rPr>
        <w:t>（一） 服务内容与具体要求</w:t>
      </w:r>
    </w:p>
    <w:p w14:paraId="43E0DD42">
      <w:pPr>
        <w:spacing w:line="360" w:lineRule="auto"/>
        <w:rPr>
          <w:rFonts w:hint="eastAsia" w:ascii="宋体" w:hAnsi="宋体" w:cs="宋体"/>
          <w:sz w:val="24"/>
        </w:rPr>
      </w:pPr>
      <w:r>
        <w:rPr>
          <w:rFonts w:hint="eastAsia" w:ascii="宋体" w:hAnsi="宋体" w:cs="宋体"/>
          <w:sz w:val="24"/>
        </w:rPr>
        <w:t>1.综合保洁与消毒服务</w:t>
      </w:r>
    </w:p>
    <w:p w14:paraId="5C975817">
      <w:pPr>
        <w:spacing w:line="360" w:lineRule="auto"/>
        <w:ind w:firstLine="480" w:firstLineChars="200"/>
        <w:rPr>
          <w:rFonts w:hint="eastAsia" w:ascii="宋体" w:hAnsi="宋体" w:cs="宋体"/>
          <w:sz w:val="24"/>
        </w:rPr>
      </w:pPr>
      <w:r>
        <w:rPr>
          <w:rFonts w:hint="eastAsia" w:ascii="宋体" w:hAnsi="宋体" w:cs="宋体"/>
          <w:sz w:val="24"/>
        </w:rPr>
        <w:t>（1）范围：涵盖所有公共区域（大厅、走廊、楼梯、卫生间等）、诊疗区域（门诊、急诊、医技科室、病房）、行政办公区、科研教学区、地下车库、外围环境等。</w:t>
      </w:r>
    </w:p>
    <w:p w14:paraId="1DE7C9C0">
      <w:pPr>
        <w:spacing w:line="360" w:lineRule="auto"/>
        <w:ind w:firstLine="480" w:firstLineChars="200"/>
        <w:rPr>
          <w:rFonts w:hint="eastAsia" w:ascii="宋体" w:hAnsi="宋体" w:cs="宋体"/>
          <w:sz w:val="24"/>
        </w:rPr>
      </w:pPr>
      <w:r>
        <w:rPr>
          <w:rFonts w:hint="eastAsia" w:ascii="宋体" w:hAnsi="宋体" w:cs="宋体"/>
          <w:sz w:val="24"/>
        </w:rPr>
        <w:t>（2）标准：执行严格的分类、分级清洁消毒流程，特别是手术室、消毒供应中心、感染性疾病科、检验科、医疗废物暂存点等重点区域，必须符合国家及行业院感防控规范。制定详细的日常、周期性与专项清洁计划。</w:t>
      </w:r>
    </w:p>
    <w:p w14:paraId="6C603521">
      <w:pPr>
        <w:spacing w:line="360" w:lineRule="auto"/>
        <w:ind w:firstLine="480" w:firstLineChars="200"/>
        <w:rPr>
          <w:rFonts w:hint="eastAsia" w:ascii="宋体" w:hAnsi="宋体" w:cs="宋体"/>
          <w:sz w:val="24"/>
        </w:rPr>
      </w:pPr>
      <w:r>
        <w:rPr>
          <w:rFonts w:hint="eastAsia" w:ascii="宋体" w:hAnsi="宋体" w:cs="宋体"/>
          <w:sz w:val="24"/>
        </w:rPr>
        <w:t>（3）专项：1）包括但不限于：玻璃幕墙/窗户清洗、高空除尘、地面打蜡抛光、地毯清洗、空调出风口滤网清洁、放射性污染区域的特殊清洁等。</w:t>
      </w:r>
    </w:p>
    <w:p w14:paraId="4A9D309A">
      <w:pPr>
        <w:spacing w:line="360" w:lineRule="auto"/>
        <w:ind w:firstLine="480" w:firstLineChars="200"/>
        <w:rPr>
          <w:rFonts w:hint="eastAsia" w:ascii="宋体" w:hAnsi="宋体" w:cs="宋体"/>
          <w:sz w:val="24"/>
        </w:rPr>
      </w:pPr>
      <w:r>
        <w:rPr>
          <w:rFonts w:hint="eastAsia"/>
          <w:sz w:val="24"/>
        </w:rPr>
        <w:t>2）</w:t>
      </w:r>
      <w:r>
        <w:rPr>
          <w:sz w:val="24"/>
        </w:rPr>
        <w:t>高空作业人员需具备有效期内的《特种作业操作证》（操作项目：高处安装、维护、拆除作业）。（投标人提交承诺函，承诺中标后配备符合上述要求的人员，承诺函可参照“投标文件格式与要求”中《承诺函》格式）。</w:t>
      </w:r>
    </w:p>
    <w:p w14:paraId="71DD241C">
      <w:pPr>
        <w:spacing w:line="360" w:lineRule="auto"/>
        <w:rPr>
          <w:rFonts w:hint="eastAsia" w:ascii="宋体" w:hAnsi="宋体" w:cs="宋体"/>
          <w:sz w:val="24"/>
        </w:rPr>
      </w:pPr>
      <w:r>
        <w:rPr>
          <w:rFonts w:hint="eastAsia" w:ascii="宋体" w:hAnsi="宋体" w:cs="宋体"/>
          <w:sz w:val="24"/>
        </w:rPr>
        <w:t>2.医疗废物与生活垃圾管理</w:t>
      </w:r>
    </w:p>
    <w:p w14:paraId="21943CBB">
      <w:pPr>
        <w:spacing w:line="360" w:lineRule="auto"/>
        <w:ind w:firstLine="480" w:firstLineChars="200"/>
        <w:rPr>
          <w:rFonts w:hint="eastAsia" w:ascii="宋体" w:hAnsi="宋体" w:cs="宋体"/>
          <w:sz w:val="24"/>
        </w:rPr>
      </w:pPr>
      <w:r>
        <w:rPr>
          <w:rFonts w:hint="eastAsia" w:ascii="宋体" w:hAnsi="宋体" w:cs="宋体"/>
          <w:sz w:val="24"/>
        </w:rPr>
        <w:t>（1）收集：按规定路线、时间，使用专用工具密闭收集。</w:t>
      </w:r>
    </w:p>
    <w:p w14:paraId="21553590">
      <w:pPr>
        <w:spacing w:line="360" w:lineRule="auto"/>
        <w:ind w:firstLine="480" w:firstLineChars="200"/>
        <w:rPr>
          <w:rFonts w:hint="eastAsia" w:ascii="宋体" w:hAnsi="宋体" w:cs="宋体"/>
          <w:sz w:val="24"/>
        </w:rPr>
      </w:pPr>
      <w:r>
        <w:rPr>
          <w:rFonts w:hint="eastAsia" w:ascii="宋体" w:hAnsi="宋体" w:cs="宋体"/>
          <w:sz w:val="24"/>
        </w:rPr>
        <w:t>（2）分类：严格按照《医疗废物管理条例》进行规范分类、标识、封装。</w:t>
      </w:r>
    </w:p>
    <w:p w14:paraId="6D4A8C4A">
      <w:pPr>
        <w:spacing w:line="360" w:lineRule="auto"/>
        <w:ind w:firstLine="480" w:firstLineChars="200"/>
        <w:rPr>
          <w:rFonts w:hint="eastAsia" w:ascii="宋体" w:hAnsi="宋体" w:cs="宋体"/>
          <w:sz w:val="24"/>
        </w:rPr>
      </w:pPr>
      <w:r>
        <w:rPr>
          <w:rFonts w:hint="eastAsia" w:ascii="宋体" w:hAnsi="宋体" w:cs="宋体"/>
          <w:sz w:val="24"/>
        </w:rPr>
        <w:t>（3）转运与暂存：院内安全转运至指定暂存点，管理规范，记录齐全，确保与有资质的处置单位无缝交接，杜绝遗撒、泄漏和交叉感染风险。</w:t>
      </w:r>
    </w:p>
    <w:p w14:paraId="5B7B10DD">
      <w:pPr>
        <w:spacing w:line="360" w:lineRule="auto"/>
        <w:rPr>
          <w:rFonts w:hint="eastAsia" w:ascii="宋体" w:hAnsi="宋体" w:cs="宋体"/>
          <w:sz w:val="24"/>
        </w:rPr>
      </w:pPr>
      <w:r>
        <w:rPr>
          <w:rFonts w:hint="eastAsia" w:ascii="宋体" w:hAnsi="宋体" w:cs="宋体"/>
          <w:sz w:val="24"/>
        </w:rPr>
        <w:t>3.生活垃圾：日产日清，分类投放管理。</w:t>
      </w:r>
    </w:p>
    <w:p w14:paraId="429510BC">
      <w:pPr>
        <w:spacing w:line="360" w:lineRule="auto"/>
        <w:rPr>
          <w:rFonts w:hint="eastAsia" w:ascii="宋体" w:hAnsi="宋体" w:cs="宋体"/>
          <w:sz w:val="24"/>
        </w:rPr>
      </w:pPr>
      <w:r>
        <w:rPr>
          <w:rFonts w:hint="eastAsia" w:ascii="宋体" w:hAnsi="宋体" w:cs="宋体"/>
          <w:sz w:val="24"/>
        </w:rPr>
        <w:t>4.医用织物洗涤与收发服务</w:t>
      </w:r>
    </w:p>
    <w:p w14:paraId="43A502C6">
      <w:pPr>
        <w:spacing w:line="360" w:lineRule="auto"/>
        <w:ind w:firstLine="480" w:firstLineChars="200"/>
        <w:rPr>
          <w:rFonts w:hint="eastAsia" w:ascii="宋体" w:hAnsi="宋体" w:cs="宋体"/>
          <w:sz w:val="24"/>
        </w:rPr>
      </w:pPr>
      <w:r>
        <w:rPr>
          <w:rFonts w:hint="eastAsia" w:ascii="宋体" w:hAnsi="宋体" w:cs="宋体"/>
          <w:sz w:val="24"/>
        </w:rPr>
        <w:t>（1）收发：定时定点，洁污分开，路线分离。</w:t>
      </w:r>
    </w:p>
    <w:p w14:paraId="23F9E17C">
      <w:pPr>
        <w:spacing w:line="360" w:lineRule="auto"/>
        <w:ind w:firstLine="480" w:firstLineChars="200"/>
        <w:rPr>
          <w:rFonts w:hint="eastAsia" w:ascii="宋体" w:hAnsi="宋体" w:cs="宋体"/>
          <w:sz w:val="24"/>
        </w:rPr>
      </w:pPr>
      <w:r>
        <w:rPr>
          <w:rFonts w:hint="eastAsia" w:ascii="宋体" w:hAnsi="宋体" w:cs="宋体"/>
          <w:sz w:val="24"/>
        </w:rPr>
        <w:t>（2）洗涤：洗涤质量必须符合卫生部相关卫生标准。</w:t>
      </w:r>
    </w:p>
    <w:p w14:paraId="76CEA640">
      <w:pPr>
        <w:spacing w:line="360" w:lineRule="auto"/>
        <w:rPr>
          <w:rFonts w:hint="eastAsia" w:ascii="宋体" w:hAnsi="宋体" w:cs="宋体"/>
          <w:sz w:val="24"/>
        </w:rPr>
      </w:pPr>
      <w:r>
        <w:rPr>
          <w:rFonts w:hint="eastAsia" w:ascii="宋体" w:hAnsi="宋体" w:cs="宋体"/>
          <w:sz w:val="24"/>
        </w:rPr>
        <w:t>5.运送服务</w:t>
      </w:r>
    </w:p>
    <w:p w14:paraId="0CAA6492">
      <w:pPr>
        <w:spacing w:line="360" w:lineRule="auto"/>
        <w:ind w:firstLine="480" w:firstLineChars="200"/>
        <w:rPr>
          <w:rFonts w:hint="eastAsia" w:ascii="宋体" w:hAnsi="宋体" w:cs="宋体"/>
          <w:sz w:val="24"/>
        </w:rPr>
      </w:pPr>
      <w:r>
        <w:rPr>
          <w:rFonts w:hint="eastAsia" w:ascii="宋体" w:hAnsi="宋体" w:cs="宋体"/>
          <w:sz w:val="24"/>
        </w:rPr>
        <w:t>（1）内容：患者（陪检、转科）、药品、标本（检验、病理）、血液制品、无菌器械包、医疗文书、应急物资等的院内安全、及时运送。</w:t>
      </w:r>
    </w:p>
    <w:p w14:paraId="26B29B90">
      <w:pPr>
        <w:spacing w:line="360" w:lineRule="auto"/>
        <w:ind w:firstLine="480" w:firstLineChars="200"/>
        <w:rPr>
          <w:rFonts w:hint="eastAsia" w:ascii="宋体" w:hAnsi="宋体" w:cs="宋体"/>
          <w:sz w:val="24"/>
        </w:rPr>
      </w:pPr>
      <w:r>
        <w:rPr>
          <w:rFonts w:hint="eastAsia" w:ascii="宋体" w:hAnsi="宋体" w:cs="宋体"/>
          <w:sz w:val="24"/>
        </w:rPr>
        <w:t>（2）要求：人员需接受培训，熟悉中心布局与感染防控知识，使用专用工具，确保患者安全、物品完好和信息准确，建立可追溯的交接记录和信息化管理优先。</w:t>
      </w:r>
    </w:p>
    <w:p w14:paraId="1ED5339C">
      <w:pPr>
        <w:spacing w:line="360" w:lineRule="auto"/>
        <w:rPr>
          <w:rFonts w:hint="eastAsia" w:ascii="宋体" w:hAnsi="宋体" w:cs="宋体"/>
          <w:sz w:val="24"/>
        </w:rPr>
      </w:pPr>
      <w:r>
        <w:rPr>
          <w:rFonts w:hint="eastAsia" w:ascii="宋体" w:hAnsi="宋体" w:cs="宋体"/>
          <w:sz w:val="24"/>
        </w:rPr>
        <w:t>6.秩序维护与安全管理</w:t>
      </w:r>
    </w:p>
    <w:p w14:paraId="2CC7F2F0">
      <w:pPr>
        <w:spacing w:line="360" w:lineRule="auto"/>
        <w:ind w:firstLine="480" w:firstLineChars="200"/>
        <w:rPr>
          <w:rFonts w:hint="eastAsia" w:ascii="宋体" w:hAnsi="宋体" w:cs="宋体"/>
          <w:sz w:val="24"/>
        </w:rPr>
      </w:pPr>
      <w:r>
        <w:rPr>
          <w:rFonts w:hint="eastAsia" w:ascii="宋体" w:hAnsi="宋体" w:cs="宋体"/>
          <w:sz w:val="24"/>
        </w:rPr>
        <w:t>（1）门岗管理：车辆进出引导、人员询问登记。</w:t>
      </w:r>
    </w:p>
    <w:p w14:paraId="7236956D">
      <w:pPr>
        <w:spacing w:line="360" w:lineRule="auto"/>
        <w:ind w:firstLine="480" w:firstLineChars="200"/>
        <w:rPr>
          <w:rFonts w:hint="eastAsia" w:ascii="宋体" w:hAnsi="宋体" w:cs="宋体"/>
          <w:sz w:val="24"/>
        </w:rPr>
      </w:pPr>
      <w:r>
        <w:rPr>
          <w:rFonts w:hint="eastAsia" w:ascii="宋体" w:hAnsi="宋体" w:cs="宋体"/>
          <w:sz w:val="24"/>
        </w:rPr>
        <w:t>（2）巡逻：24小时全院区安全巡逻，重点区域监控。</w:t>
      </w:r>
    </w:p>
    <w:p w14:paraId="1E973BD3">
      <w:pPr>
        <w:spacing w:line="360" w:lineRule="auto"/>
        <w:ind w:firstLine="480" w:firstLineChars="200"/>
        <w:rPr>
          <w:rFonts w:hint="eastAsia" w:ascii="宋体" w:hAnsi="宋体" w:cs="宋体"/>
          <w:sz w:val="24"/>
        </w:rPr>
      </w:pPr>
      <w:r>
        <w:rPr>
          <w:rFonts w:hint="eastAsia" w:ascii="宋体" w:hAnsi="宋体" w:cs="宋体"/>
          <w:sz w:val="24"/>
        </w:rPr>
        <w:t>（3）秩序维护：引导就诊秩序、管理排队区域、处理一般纠纷、协助管理探视。</w:t>
      </w:r>
    </w:p>
    <w:p w14:paraId="7BFBAA56">
      <w:pPr>
        <w:spacing w:line="360" w:lineRule="auto"/>
        <w:ind w:firstLine="480" w:firstLineChars="200"/>
        <w:rPr>
          <w:rFonts w:hint="eastAsia" w:ascii="宋体" w:hAnsi="宋体" w:cs="宋体"/>
          <w:sz w:val="24"/>
        </w:rPr>
      </w:pPr>
      <w:r>
        <w:rPr>
          <w:rFonts w:hint="eastAsia" w:ascii="宋体" w:hAnsi="宋体" w:cs="宋体"/>
          <w:sz w:val="24"/>
        </w:rPr>
        <w:t>（4）应急响应：制定应急预案，参与消防、治安、突发事件的初步应对与疏散引导。</w:t>
      </w:r>
    </w:p>
    <w:p w14:paraId="39F872C7">
      <w:pPr>
        <w:spacing w:line="360" w:lineRule="auto"/>
        <w:ind w:firstLine="480" w:firstLineChars="200"/>
        <w:rPr>
          <w:rFonts w:hint="eastAsia" w:ascii="宋体" w:hAnsi="宋体" w:cs="宋体"/>
          <w:sz w:val="24"/>
        </w:rPr>
      </w:pPr>
      <w:r>
        <w:rPr>
          <w:rFonts w:hint="eastAsia" w:ascii="宋体" w:hAnsi="宋体" w:cs="宋体"/>
          <w:sz w:val="24"/>
        </w:rPr>
        <w:t>（5）车辆管理：院内交通疏导、停车秩序维护、车位管理。</w:t>
      </w:r>
    </w:p>
    <w:p w14:paraId="21687A0C">
      <w:pPr>
        <w:spacing w:line="360" w:lineRule="auto"/>
        <w:rPr>
          <w:rFonts w:hint="eastAsia" w:ascii="宋体" w:hAnsi="宋体" w:cs="宋体"/>
          <w:sz w:val="24"/>
        </w:rPr>
      </w:pPr>
      <w:r>
        <w:rPr>
          <w:rFonts w:hint="eastAsia" w:ascii="宋体" w:hAnsi="宋体" w:cs="宋体"/>
          <w:sz w:val="24"/>
        </w:rPr>
        <w:t>7.工程运维与应急维修</w:t>
      </w:r>
    </w:p>
    <w:p w14:paraId="3CAE4BBF">
      <w:pPr>
        <w:spacing w:line="360" w:lineRule="auto"/>
        <w:ind w:firstLine="480" w:firstLineChars="200"/>
        <w:rPr>
          <w:rFonts w:hint="eastAsia" w:ascii="宋体" w:hAnsi="宋体" w:cs="宋体"/>
          <w:sz w:val="24"/>
        </w:rPr>
      </w:pPr>
      <w:r>
        <w:rPr>
          <w:rFonts w:hint="eastAsia" w:ascii="宋体" w:hAnsi="宋体" w:cs="宋体"/>
          <w:sz w:val="24"/>
        </w:rPr>
        <w:t>（1）范围：物业合同约定的中小型维修、零星修缮、水电木工等（通常不包括大型设施设备、医疗专用设备的维保</w:t>
      </w:r>
      <w:r>
        <w:rPr>
          <w:rFonts w:hint="eastAsia" w:ascii="宋体" w:hAnsi="宋体" w:cs="宋体"/>
          <w:sz w:val="24"/>
          <w:lang w:eastAsia="zh-CN"/>
        </w:rPr>
        <w:t>）</w:t>
      </w:r>
      <w:r>
        <w:rPr>
          <w:rFonts w:hint="eastAsia" w:ascii="宋体" w:hAnsi="宋体" w:cs="宋体"/>
          <w:sz w:val="24"/>
        </w:rPr>
        <w:t>，但需明确接口）。</w:t>
      </w:r>
    </w:p>
    <w:p w14:paraId="7B0DD970">
      <w:pPr>
        <w:spacing w:line="360" w:lineRule="auto"/>
        <w:ind w:firstLine="480" w:firstLineChars="200"/>
        <w:rPr>
          <w:rFonts w:hint="eastAsia" w:ascii="宋体" w:hAnsi="宋体" w:cs="宋体"/>
          <w:sz w:val="24"/>
        </w:rPr>
      </w:pPr>
      <w:r>
        <w:rPr>
          <w:rFonts w:hint="eastAsia" w:ascii="宋体" w:hAnsi="宋体" w:cs="宋体"/>
          <w:sz w:val="24"/>
        </w:rPr>
        <w:t>（2）要求：设立24小时值班，快速响应（如：15分钟内到场，小修不过夜），保证维修质量，做好记录。</w:t>
      </w:r>
    </w:p>
    <w:p w14:paraId="0D079B03">
      <w:pPr>
        <w:spacing w:line="360" w:lineRule="auto"/>
        <w:rPr>
          <w:rFonts w:hint="eastAsia" w:ascii="宋体" w:hAnsi="宋体" w:cs="宋体"/>
          <w:sz w:val="24"/>
        </w:rPr>
      </w:pPr>
      <w:r>
        <w:rPr>
          <w:rFonts w:hint="eastAsia" w:ascii="宋体" w:hAnsi="宋体" w:cs="宋体"/>
          <w:sz w:val="24"/>
        </w:rPr>
        <w:t>8.绿化养护与院内景观维护</w:t>
      </w:r>
    </w:p>
    <w:p w14:paraId="607BFB8A">
      <w:pPr>
        <w:spacing w:line="360" w:lineRule="auto"/>
        <w:ind w:firstLine="480" w:firstLineChars="200"/>
        <w:rPr>
          <w:rFonts w:hint="eastAsia" w:ascii="宋体" w:hAnsi="宋体" w:cs="宋体"/>
          <w:sz w:val="24"/>
        </w:rPr>
      </w:pPr>
      <w:r>
        <w:rPr>
          <w:rFonts w:hint="eastAsia" w:ascii="宋体" w:hAnsi="宋体" w:cs="宋体"/>
          <w:sz w:val="24"/>
        </w:rPr>
        <w:t>（1）内容：室内外绿植摆放、更换、养护，室外绿化带的修剪、灌溉、施肥、病虫害防治、倒烂树木清理等。</w:t>
      </w:r>
    </w:p>
    <w:p w14:paraId="646304AD">
      <w:pPr>
        <w:spacing w:line="360" w:lineRule="auto"/>
        <w:ind w:firstLine="480" w:firstLineChars="200"/>
        <w:rPr>
          <w:rFonts w:hint="eastAsia" w:ascii="宋体" w:hAnsi="宋体" w:cs="宋体"/>
          <w:sz w:val="24"/>
        </w:rPr>
      </w:pPr>
      <w:r>
        <w:rPr>
          <w:rFonts w:hint="eastAsia" w:ascii="宋体" w:hAnsi="宋体" w:cs="宋体"/>
          <w:sz w:val="24"/>
        </w:rPr>
        <w:t>（2）要求：保持美观，无枯死，营造良好环境。</w:t>
      </w:r>
    </w:p>
    <w:p w14:paraId="22D28C54">
      <w:pPr>
        <w:spacing w:line="360" w:lineRule="auto"/>
        <w:rPr>
          <w:rFonts w:hint="eastAsia" w:ascii="宋体" w:hAnsi="宋体" w:cs="宋体"/>
          <w:sz w:val="24"/>
        </w:rPr>
      </w:pPr>
      <w:r>
        <w:rPr>
          <w:rFonts w:hint="eastAsia" w:ascii="宋体" w:hAnsi="宋体" w:cs="宋体"/>
          <w:sz w:val="24"/>
        </w:rPr>
        <w:t>9.客户服务与专项服务</w:t>
      </w:r>
    </w:p>
    <w:p w14:paraId="294A356F">
      <w:pPr>
        <w:spacing w:line="360" w:lineRule="auto"/>
        <w:ind w:firstLine="480" w:firstLineChars="200"/>
        <w:rPr>
          <w:rFonts w:hint="eastAsia" w:ascii="宋体" w:hAnsi="宋体" w:cs="宋体"/>
          <w:sz w:val="24"/>
        </w:rPr>
      </w:pPr>
      <w:r>
        <w:rPr>
          <w:rFonts w:hint="eastAsia" w:ascii="宋体" w:hAnsi="宋体" w:cs="宋体"/>
          <w:sz w:val="24"/>
        </w:rPr>
        <w:t>（1）导诊/咨询台：提供基本问询、方向指引等服务。</w:t>
      </w:r>
    </w:p>
    <w:p w14:paraId="1706F505">
      <w:pPr>
        <w:spacing w:line="360" w:lineRule="auto"/>
        <w:ind w:firstLine="480" w:firstLineChars="200"/>
        <w:rPr>
          <w:rFonts w:hint="eastAsia" w:ascii="宋体" w:hAnsi="宋体" w:cs="宋体"/>
          <w:sz w:val="24"/>
        </w:rPr>
      </w:pPr>
      <w:r>
        <w:rPr>
          <w:rFonts w:hint="eastAsia" w:ascii="宋体" w:hAnsi="宋体" w:cs="宋体"/>
          <w:sz w:val="24"/>
        </w:rPr>
        <w:t>（2）会议室/接待室服务：会前准备、会中服务、会后整理。</w:t>
      </w:r>
    </w:p>
    <w:p w14:paraId="73FF1CC9">
      <w:pPr>
        <w:spacing w:line="360" w:lineRule="auto"/>
        <w:ind w:firstLine="480" w:firstLineChars="200"/>
        <w:rPr>
          <w:rFonts w:hint="eastAsia" w:ascii="宋体" w:hAnsi="宋体" w:cs="宋体"/>
          <w:sz w:val="24"/>
        </w:rPr>
      </w:pPr>
      <w:r>
        <w:rPr>
          <w:rFonts w:hint="eastAsia" w:ascii="宋体" w:hAnsi="宋体" w:cs="宋体"/>
          <w:sz w:val="24"/>
        </w:rPr>
        <w:t>（3）其他：根据中心需要提供的大规模活动支援、防汛等应急服务。</w:t>
      </w:r>
    </w:p>
    <w:p w14:paraId="0F6AD7F9">
      <w:pPr>
        <w:spacing w:line="360" w:lineRule="auto"/>
        <w:rPr>
          <w:rFonts w:hint="eastAsia" w:ascii="宋体" w:hAnsi="宋体" w:cs="宋体"/>
          <w:sz w:val="24"/>
        </w:rPr>
      </w:pPr>
      <w:r>
        <w:rPr>
          <w:rFonts w:hint="eastAsia" w:ascii="宋体" w:hAnsi="宋体" w:cs="宋体"/>
          <w:sz w:val="24"/>
        </w:rPr>
        <w:t>10.培训体系：</w:t>
      </w:r>
    </w:p>
    <w:p w14:paraId="4277293D">
      <w:pPr>
        <w:spacing w:line="360" w:lineRule="auto"/>
        <w:ind w:firstLine="480" w:firstLineChars="200"/>
        <w:rPr>
          <w:rFonts w:hint="eastAsia" w:ascii="宋体" w:hAnsi="宋体" w:cs="宋体"/>
          <w:sz w:val="24"/>
        </w:rPr>
      </w:pPr>
      <w:r>
        <w:rPr>
          <w:rFonts w:hint="eastAsia" w:ascii="宋体" w:hAnsi="宋体" w:cs="宋体"/>
          <w:sz w:val="24"/>
        </w:rPr>
        <w:t>需提供完善的岗前、在岗培训计划，特别是中心规章制度、服务礼仪、感染防控、安全消防、应急预案等。</w:t>
      </w:r>
    </w:p>
    <w:p w14:paraId="22F7FBE5">
      <w:pPr>
        <w:spacing w:line="360" w:lineRule="auto"/>
        <w:ind w:firstLine="420" w:firstLineChars="200"/>
      </w:pPr>
    </w:p>
    <w:p w14:paraId="623506CF">
      <w:pPr>
        <w:spacing w:line="360" w:lineRule="auto"/>
        <w:rPr>
          <w:rFonts w:hint="eastAsia" w:ascii="宋体" w:hAnsi="宋体" w:cs="宋体"/>
          <w:sz w:val="24"/>
        </w:rPr>
      </w:pPr>
      <w:r>
        <w:rPr>
          <w:rFonts w:hint="eastAsia" w:ascii="宋体" w:hAnsi="宋体" w:cs="宋体"/>
          <w:sz w:val="24"/>
        </w:rPr>
        <w:t>（二）人员配置与管理要求</w:t>
      </w:r>
    </w:p>
    <w:p w14:paraId="5D2125A4">
      <w:pPr>
        <w:spacing w:line="360" w:lineRule="auto"/>
        <w:rPr>
          <w:rFonts w:hint="eastAsia" w:ascii="宋体" w:hAnsi="宋体" w:cs="宋体"/>
          <w:sz w:val="24"/>
        </w:rPr>
      </w:pPr>
      <w:r>
        <w:rPr>
          <w:rFonts w:hint="eastAsia" w:ascii="宋体" w:hAnsi="宋体" w:cs="宋体"/>
          <w:sz w:val="24"/>
        </w:rPr>
        <w:t>1.岗位需求：</w:t>
      </w:r>
    </w:p>
    <w:tbl>
      <w:tblPr>
        <w:tblStyle w:val="11"/>
        <w:tblW w:w="8459"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218"/>
        <w:gridCol w:w="1345"/>
        <w:gridCol w:w="4913"/>
        <w:gridCol w:w="983"/>
      </w:tblGrid>
      <w:tr w14:paraId="194CCE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1218" w:type="dxa"/>
            <w:tcBorders>
              <w:top w:val="single" w:color="000000" w:sz="4" w:space="0"/>
              <w:left w:val="single" w:color="000000" w:sz="4" w:space="0"/>
              <w:bottom w:val="single" w:color="000000" w:sz="4" w:space="0"/>
              <w:right w:val="single" w:color="000000" w:sz="4" w:space="0"/>
            </w:tcBorders>
            <w:vAlign w:val="center"/>
          </w:tcPr>
          <w:p w14:paraId="1C917F85">
            <w:pPr>
              <w:jc w:val="center"/>
              <w:rPr>
                <w:rFonts w:hint="eastAsia" w:ascii="宋体" w:hAnsi="宋体" w:cs="宋体"/>
                <w:sz w:val="24"/>
              </w:rPr>
            </w:pPr>
            <w:r>
              <w:rPr>
                <w:rFonts w:hint="eastAsia" w:ascii="宋体" w:hAnsi="宋体" w:cs="宋体"/>
                <w:b/>
                <w:color w:val="000000"/>
                <w:sz w:val="24"/>
              </w:rPr>
              <w:t>服务区域</w:t>
            </w:r>
          </w:p>
        </w:tc>
        <w:tc>
          <w:tcPr>
            <w:tcW w:w="1345" w:type="dxa"/>
            <w:tcBorders>
              <w:top w:val="single" w:color="000000" w:sz="4" w:space="0"/>
              <w:left w:val="single" w:color="000000" w:sz="4" w:space="0"/>
              <w:bottom w:val="single" w:color="000000" w:sz="4" w:space="0"/>
              <w:right w:val="single" w:color="000000" w:sz="4" w:space="0"/>
            </w:tcBorders>
            <w:vAlign w:val="center"/>
          </w:tcPr>
          <w:p w14:paraId="6D169F5E">
            <w:pPr>
              <w:jc w:val="center"/>
              <w:rPr>
                <w:rFonts w:hint="eastAsia" w:ascii="宋体" w:hAnsi="宋体" w:cs="宋体"/>
                <w:sz w:val="24"/>
              </w:rPr>
            </w:pPr>
            <w:r>
              <w:rPr>
                <w:rFonts w:hint="eastAsia" w:ascii="宋体" w:hAnsi="宋体" w:cs="宋体"/>
                <w:b/>
                <w:color w:val="000000"/>
                <w:sz w:val="24"/>
              </w:rPr>
              <w:t>服务岗位</w:t>
            </w:r>
          </w:p>
        </w:tc>
        <w:tc>
          <w:tcPr>
            <w:tcW w:w="4913" w:type="dxa"/>
            <w:tcBorders>
              <w:top w:val="single" w:color="000000" w:sz="4" w:space="0"/>
              <w:left w:val="single" w:color="000000" w:sz="4" w:space="0"/>
              <w:bottom w:val="single" w:color="000000" w:sz="4" w:space="0"/>
              <w:right w:val="single" w:color="000000" w:sz="4" w:space="0"/>
            </w:tcBorders>
            <w:vAlign w:val="center"/>
          </w:tcPr>
          <w:p w14:paraId="1F3FE8EF">
            <w:pPr>
              <w:jc w:val="center"/>
              <w:rPr>
                <w:rFonts w:hint="eastAsia" w:ascii="宋体" w:hAnsi="宋体" w:cs="宋体"/>
                <w:sz w:val="24"/>
              </w:rPr>
            </w:pPr>
            <w:r>
              <w:rPr>
                <w:rFonts w:hint="eastAsia" w:ascii="宋体" w:hAnsi="宋体" w:cs="宋体"/>
                <w:b/>
                <w:color w:val="000000"/>
                <w:sz w:val="24"/>
              </w:rPr>
              <w:t>岗位服务内容及要求</w:t>
            </w:r>
          </w:p>
        </w:tc>
        <w:tc>
          <w:tcPr>
            <w:tcW w:w="983" w:type="dxa"/>
            <w:tcBorders>
              <w:top w:val="single" w:color="000000" w:sz="4" w:space="0"/>
              <w:left w:val="single" w:color="000000" w:sz="4" w:space="0"/>
              <w:bottom w:val="single" w:color="000000" w:sz="4" w:space="0"/>
              <w:right w:val="single" w:color="000000" w:sz="4" w:space="0"/>
            </w:tcBorders>
            <w:vAlign w:val="center"/>
          </w:tcPr>
          <w:p w14:paraId="29F66700">
            <w:pPr>
              <w:jc w:val="center"/>
              <w:rPr>
                <w:rFonts w:hint="eastAsia" w:ascii="宋体" w:hAnsi="宋体" w:cs="宋体"/>
                <w:sz w:val="24"/>
              </w:rPr>
            </w:pPr>
            <w:r>
              <w:rPr>
                <w:rFonts w:hint="eastAsia" w:ascii="宋体" w:hAnsi="宋体" w:cs="宋体"/>
                <w:b/>
                <w:color w:val="000000"/>
                <w:sz w:val="24"/>
              </w:rPr>
              <w:t>必需岗位数</w:t>
            </w:r>
          </w:p>
        </w:tc>
      </w:tr>
      <w:tr w14:paraId="73E81F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restart"/>
            <w:tcBorders>
              <w:top w:val="nil"/>
              <w:left w:val="single" w:color="000000" w:sz="4" w:space="0"/>
              <w:right w:val="single" w:color="000000" w:sz="4" w:space="0"/>
            </w:tcBorders>
            <w:vAlign w:val="center"/>
          </w:tcPr>
          <w:p w14:paraId="7D8558AE">
            <w:pPr>
              <w:jc w:val="center"/>
              <w:rPr>
                <w:rFonts w:hint="eastAsia" w:ascii="宋体" w:hAnsi="宋体" w:cs="宋体"/>
                <w:sz w:val="24"/>
              </w:rPr>
            </w:pPr>
            <w:r>
              <w:rPr>
                <w:rFonts w:hint="eastAsia" w:ascii="宋体" w:hAnsi="宋体" w:cs="宋体"/>
                <w:sz w:val="24"/>
              </w:rPr>
              <w:t>泗安院区麻涌门诊部</w:t>
            </w:r>
          </w:p>
        </w:tc>
        <w:tc>
          <w:tcPr>
            <w:tcW w:w="1345" w:type="dxa"/>
            <w:tcBorders>
              <w:top w:val="nil"/>
              <w:left w:val="single" w:color="000000" w:sz="4" w:space="0"/>
              <w:bottom w:val="single" w:color="000000" w:sz="4" w:space="0"/>
              <w:right w:val="single" w:color="000000" w:sz="4" w:space="0"/>
            </w:tcBorders>
            <w:vAlign w:val="center"/>
          </w:tcPr>
          <w:p w14:paraId="765A0369">
            <w:pPr>
              <w:jc w:val="center"/>
              <w:rPr>
                <w:rFonts w:hint="eastAsia" w:ascii="宋体" w:hAnsi="宋体" w:cs="宋体"/>
                <w:sz w:val="24"/>
              </w:rPr>
            </w:pPr>
            <w:r>
              <w:rPr>
                <w:rFonts w:hint="eastAsia" w:ascii="宋体" w:hAnsi="宋体" w:cs="宋体"/>
                <w:color w:val="000000"/>
                <w:sz w:val="24"/>
              </w:rPr>
              <w:t>项目经理</w:t>
            </w:r>
          </w:p>
        </w:tc>
        <w:tc>
          <w:tcPr>
            <w:tcW w:w="4913" w:type="dxa"/>
            <w:tcBorders>
              <w:top w:val="nil"/>
              <w:left w:val="single" w:color="000000" w:sz="4" w:space="0"/>
              <w:bottom w:val="single" w:color="000000" w:sz="4" w:space="0"/>
              <w:right w:val="single" w:color="000000" w:sz="4" w:space="0"/>
            </w:tcBorders>
            <w:vAlign w:val="center"/>
          </w:tcPr>
          <w:p w14:paraId="7845758B">
            <w:r>
              <w:rPr>
                <w:rFonts w:hint="eastAsia" w:ascii="宋体" w:hAnsi="宋体" w:cs="宋体"/>
                <w:color w:val="000000"/>
                <w:sz w:val="24"/>
              </w:rPr>
              <w:t>1.具备大专或以上学历。</w:t>
            </w:r>
          </w:p>
          <w:p w14:paraId="5E69A58F">
            <w:pPr>
              <w:rPr>
                <w:rFonts w:hint="eastAsia" w:ascii="宋体" w:hAnsi="宋体" w:cs="宋体"/>
                <w:sz w:val="24"/>
              </w:rPr>
            </w:pPr>
            <w:r>
              <w:rPr>
                <w:rFonts w:hint="eastAsia" w:ascii="宋体" w:hAnsi="宋体" w:cs="宋体"/>
                <w:color w:val="000000"/>
                <w:sz w:val="24"/>
              </w:rPr>
              <w:t>2.具有5年或以上作为项目经理的物业管理经验，负责物管团队管理和专业培训，应急事项处置，与院方对接协调。</w:t>
            </w:r>
          </w:p>
        </w:tc>
        <w:tc>
          <w:tcPr>
            <w:tcW w:w="983" w:type="dxa"/>
            <w:tcBorders>
              <w:top w:val="nil"/>
              <w:left w:val="single" w:color="000000" w:sz="4" w:space="0"/>
              <w:bottom w:val="single" w:color="000000" w:sz="4" w:space="0"/>
              <w:right w:val="single" w:color="000000" w:sz="4" w:space="0"/>
            </w:tcBorders>
            <w:vAlign w:val="center"/>
          </w:tcPr>
          <w:p w14:paraId="26B04D15">
            <w:pPr>
              <w:jc w:val="center"/>
              <w:rPr>
                <w:rFonts w:hint="eastAsia" w:ascii="宋体" w:hAnsi="宋体" w:cs="宋体"/>
                <w:sz w:val="24"/>
              </w:rPr>
            </w:pPr>
            <w:r>
              <w:rPr>
                <w:rFonts w:hint="eastAsia" w:ascii="宋体" w:hAnsi="宋体" w:cs="宋体"/>
                <w:color w:val="000000"/>
                <w:sz w:val="24"/>
              </w:rPr>
              <w:t>1</w:t>
            </w:r>
          </w:p>
        </w:tc>
      </w:tr>
      <w:tr w14:paraId="5C60C1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continue"/>
            <w:tcBorders>
              <w:top w:val="nil"/>
              <w:left w:val="single" w:color="000000" w:sz="4" w:space="0"/>
              <w:bottom w:val="single" w:color="000000" w:sz="4" w:space="0"/>
              <w:right w:val="single" w:color="000000" w:sz="4" w:space="0"/>
            </w:tcBorders>
            <w:vAlign w:val="center"/>
          </w:tcPr>
          <w:p w14:paraId="17B4CAFA">
            <w:pPr>
              <w:jc w:val="center"/>
              <w:rPr>
                <w:rFonts w:hint="eastAsia" w:ascii="宋体" w:hAnsi="宋体" w:cs="宋体"/>
                <w:sz w:val="24"/>
              </w:rPr>
            </w:pPr>
          </w:p>
        </w:tc>
        <w:tc>
          <w:tcPr>
            <w:tcW w:w="1345" w:type="dxa"/>
            <w:tcBorders>
              <w:top w:val="nil"/>
              <w:left w:val="single" w:color="000000" w:sz="4" w:space="0"/>
              <w:bottom w:val="single" w:color="000000" w:sz="4" w:space="0"/>
              <w:right w:val="single" w:color="000000" w:sz="4" w:space="0"/>
            </w:tcBorders>
            <w:vAlign w:val="center"/>
          </w:tcPr>
          <w:p w14:paraId="3C6997F5">
            <w:pPr>
              <w:jc w:val="center"/>
              <w:rPr>
                <w:rFonts w:hint="eastAsia" w:ascii="宋体" w:hAnsi="宋体" w:cs="宋体"/>
                <w:sz w:val="24"/>
              </w:rPr>
            </w:pPr>
            <w:r>
              <w:rPr>
                <w:rFonts w:hint="eastAsia" w:ascii="宋体" w:hAnsi="宋体" w:cs="宋体"/>
                <w:color w:val="000000"/>
                <w:sz w:val="24"/>
              </w:rPr>
              <w:t>保洁员</w:t>
            </w:r>
          </w:p>
        </w:tc>
        <w:tc>
          <w:tcPr>
            <w:tcW w:w="4913" w:type="dxa"/>
            <w:tcBorders>
              <w:top w:val="nil"/>
              <w:left w:val="single" w:color="000000" w:sz="4" w:space="0"/>
              <w:bottom w:val="single" w:color="000000" w:sz="4" w:space="0"/>
              <w:right w:val="single" w:color="000000" w:sz="4" w:space="0"/>
            </w:tcBorders>
            <w:vAlign w:val="center"/>
          </w:tcPr>
          <w:p w14:paraId="3BE96218">
            <w:pPr>
              <w:rPr>
                <w:rFonts w:hint="eastAsia" w:ascii="宋体" w:hAnsi="宋体" w:cs="宋体"/>
                <w:sz w:val="24"/>
              </w:rPr>
            </w:pPr>
            <w:r>
              <w:rPr>
                <w:rFonts w:hint="eastAsia" w:ascii="宋体" w:hAnsi="宋体" w:cs="宋体"/>
                <w:color w:val="000000"/>
                <w:sz w:val="24"/>
              </w:rPr>
              <w:t>办公楼室内走廊大厅、职工宿舍楼走廊大厅清洁卫生服务；院区医疗垃圾清运至暂存间及平台登记交接。</w:t>
            </w:r>
          </w:p>
        </w:tc>
        <w:tc>
          <w:tcPr>
            <w:tcW w:w="983" w:type="dxa"/>
            <w:tcBorders>
              <w:top w:val="nil"/>
              <w:left w:val="single" w:color="000000" w:sz="4" w:space="0"/>
              <w:bottom w:val="single" w:color="000000" w:sz="4" w:space="0"/>
              <w:right w:val="single" w:color="000000" w:sz="4" w:space="0"/>
            </w:tcBorders>
            <w:vAlign w:val="center"/>
          </w:tcPr>
          <w:p w14:paraId="4B9A1865">
            <w:pPr>
              <w:jc w:val="center"/>
              <w:rPr>
                <w:rFonts w:hint="eastAsia" w:ascii="宋体" w:hAnsi="宋体" w:cs="宋体"/>
                <w:sz w:val="24"/>
              </w:rPr>
            </w:pPr>
            <w:r>
              <w:rPr>
                <w:rFonts w:hint="eastAsia" w:ascii="宋体" w:hAnsi="宋体" w:cs="宋体"/>
                <w:color w:val="000000"/>
                <w:sz w:val="24"/>
              </w:rPr>
              <w:t>3</w:t>
            </w:r>
          </w:p>
        </w:tc>
      </w:tr>
      <w:tr w14:paraId="3BC190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continue"/>
            <w:tcBorders>
              <w:top w:val="nil"/>
              <w:left w:val="single" w:color="000000" w:sz="4" w:space="0"/>
              <w:bottom w:val="single" w:color="000000" w:sz="4" w:space="0"/>
              <w:right w:val="single" w:color="000000" w:sz="4" w:space="0"/>
            </w:tcBorders>
            <w:vAlign w:val="center"/>
          </w:tcPr>
          <w:p w14:paraId="4D787264">
            <w:pPr>
              <w:jc w:val="center"/>
              <w:rPr>
                <w:rFonts w:hint="eastAsia" w:ascii="宋体" w:hAnsi="宋体" w:cs="宋体"/>
                <w:sz w:val="24"/>
              </w:rPr>
            </w:pPr>
          </w:p>
        </w:tc>
        <w:tc>
          <w:tcPr>
            <w:tcW w:w="1345" w:type="dxa"/>
            <w:tcBorders>
              <w:top w:val="nil"/>
              <w:left w:val="single" w:color="000000" w:sz="4" w:space="0"/>
              <w:bottom w:val="single" w:color="000000" w:sz="4" w:space="0"/>
              <w:right w:val="single" w:color="000000" w:sz="4" w:space="0"/>
            </w:tcBorders>
            <w:vAlign w:val="center"/>
          </w:tcPr>
          <w:p w14:paraId="64AC172C">
            <w:pPr>
              <w:jc w:val="center"/>
              <w:rPr>
                <w:rFonts w:hint="eastAsia" w:ascii="宋体" w:hAnsi="宋体" w:cs="宋体"/>
                <w:sz w:val="24"/>
              </w:rPr>
            </w:pPr>
            <w:r>
              <w:rPr>
                <w:rFonts w:hint="eastAsia" w:ascii="宋体" w:hAnsi="宋体" w:cs="宋体"/>
                <w:color w:val="000000"/>
                <w:sz w:val="24"/>
              </w:rPr>
              <w:t>水电工</w:t>
            </w:r>
          </w:p>
        </w:tc>
        <w:tc>
          <w:tcPr>
            <w:tcW w:w="4913" w:type="dxa"/>
            <w:tcBorders>
              <w:top w:val="nil"/>
              <w:left w:val="single" w:color="000000" w:sz="4" w:space="0"/>
              <w:bottom w:val="single" w:color="000000" w:sz="4" w:space="0"/>
              <w:right w:val="single" w:color="000000" w:sz="4" w:space="0"/>
            </w:tcBorders>
            <w:vAlign w:val="center"/>
          </w:tcPr>
          <w:p w14:paraId="54D1F0C1">
            <w:pPr>
              <w:jc w:val="left"/>
              <w:rPr>
                <w:rFonts w:hint="eastAsia" w:ascii="宋体" w:hAnsi="宋体" w:eastAsia="宋体" w:cs="宋体"/>
                <w:sz w:val="24"/>
                <w:lang w:eastAsia="zh-CN"/>
              </w:rPr>
            </w:pPr>
            <w:r>
              <w:rPr>
                <w:sz w:val="24"/>
              </w:rPr>
              <w:t>★</w:t>
            </w:r>
            <w:r>
              <w:rPr>
                <w:rFonts w:hint="eastAsia"/>
                <w:color w:val="000000"/>
              </w:rPr>
              <w:t>须持有</w:t>
            </w:r>
            <w:r>
              <w:rPr>
                <w:rFonts w:hint="eastAsia" w:ascii="宋体" w:hAnsi="宋体" w:cs="宋体"/>
                <w:color w:val="000000"/>
                <w:sz w:val="24"/>
              </w:rPr>
              <w:t>《特种作业操作证》</w:t>
            </w:r>
            <w:r>
              <w:rPr>
                <w:rFonts w:hint="eastAsia"/>
                <w:color w:val="000000"/>
              </w:rPr>
              <w:t>（</w:t>
            </w:r>
            <w:r>
              <w:rPr>
                <w:rFonts w:hint="eastAsia" w:ascii="宋体" w:hAnsi="宋体" w:cs="宋体"/>
                <w:color w:val="000000"/>
                <w:sz w:val="24"/>
              </w:rPr>
              <w:t>操作项目：电工作业)</w:t>
            </w:r>
            <w:r>
              <w:rPr>
                <w:rFonts w:hint="eastAsia" w:ascii="宋体" w:hAnsi="宋体" w:cs="宋体"/>
                <w:color w:val="000000"/>
                <w:sz w:val="24"/>
                <w:lang w:eastAsia="zh-CN"/>
              </w:rPr>
              <w:t>、消防设施操作</w:t>
            </w:r>
            <w:r>
              <w:rPr>
                <w:rFonts w:hint="eastAsia" w:ascii="宋体" w:hAnsi="宋体" w:cs="宋体"/>
                <w:color w:val="000000"/>
                <w:sz w:val="24"/>
                <w:lang w:val="en-US" w:eastAsia="zh-CN"/>
              </w:rPr>
              <w:t>员证</w:t>
            </w:r>
            <w:r>
              <w:rPr>
                <w:rFonts w:hint="eastAsia" w:ascii="宋体" w:hAnsi="宋体" w:cs="宋体"/>
                <w:color w:val="000000"/>
                <w:sz w:val="24"/>
              </w:rPr>
              <w:t>。负责</w:t>
            </w:r>
            <w:r>
              <w:rPr>
                <w:rFonts w:ascii="宋体" w:hAnsi="宋体" w:cs="宋体"/>
                <w:color w:val="000000"/>
                <w:sz w:val="24"/>
              </w:rPr>
              <w:t>通用水电、消防设备、仪器、电梯等设施维护、水闸维护、闸板更换等</w:t>
            </w:r>
            <w:r>
              <w:rPr>
                <w:rFonts w:hint="eastAsia" w:ascii="宋体" w:hAnsi="宋体" w:cs="宋体"/>
                <w:color w:val="000000"/>
                <w:sz w:val="24"/>
              </w:rPr>
              <w:t>，并</w:t>
            </w:r>
            <w:r>
              <w:rPr>
                <w:rFonts w:ascii="宋体" w:hAnsi="宋体" w:cs="宋体"/>
                <w:color w:val="000000"/>
                <w:sz w:val="24"/>
              </w:rPr>
              <w:t>保障</w:t>
            </w:r>
            <w:r>
              <w:rPr>
                <w:rFonts w:hint="eastAsia" w:ascii="宋体" w:hAnsi="宋体" w:cs="宋体"/>
                <w:color w:val="000000"/>
                <w:sz w:val="24"/>
              </w:rPr>
              <w:t>监控室</w:t>
            </w:r>
            <w:r>
              <w:rPr>
                <w:rFonts w:ascii="宋体" w:hAnsi="宋体" w:cs="宋体"/>
                <w:color w:val="000000"/>
                <w:sz w:val="24"/>
              </w:rPr>
              <w:t>每天24小时有人值守</w:t>
            </w:r>
            <w:r>
              <w:rPr>
                <w:rFonts w:hint="eastAsia" w:ascii="宋体" w:hAnsi="宋体" w:cs="宋体"/>
                <w:color w:val="000000"/>
                <w:sz w:val="24"/>
                <w:lang w:eastAsia="zh-CN"/>
              </w:rPr>
              <w:t>。</w:t>
            </w:r>
          </w:p>
        </w:tc>
        <w:tc>
          <w:tcPr>
            <w:tcW w:w="983" w:type="dxa"/>
            <w:tcBorders>
              <w:top w:val="nil"/>
              <w:left w:val="single" w:color="000000" w:sz="4" w:space="0"/>
              <w:bottom w:val="single" w:color="000000" w:sz="4" w:space="0"/>
              <w:right w:val="single" w:color="000000" w:sz="4" w:space="0"/>
            </w:tcBorders>
            <w:vAlign w:val="center"/>
          </w:tcPr>
          <w:p w14:paraId="00AF7465">
            <w:pPr>
              <w:jc w:val="center"/>
              <w:rPr>
                <w:rFonts w:hint="eastAsia" w:ascii="宋体" w:hAnsi="宋体" w:cs="宋体"/>
                <w:sz w:val="24"/>
              </w:rPr>
            </w:pPr>
            <w:r>
              <w:rPr>
                <w:rFonts w:hint="eastAsia" w:ascii="宋体" w:hAnsi="宋体" w:cs="宋体"/>
                <w:color w:val="000000"/>
                <w:sz w:val="24"/>
              </w:rPr>
              <w:t>3</w:t>
            </w:r>
          </w:p>
        </w:tc>
      </w:tr>
      <w:tr w14:paraId="0417B2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del w:id="2" w:author="cc" w:date="2026-03-06T09:04:49Z"/>
        </w:trPr>
        <w:tc>
          <w:tcPr>
            <w:tcW w:w="1218" w:type="dxa"/>
            <w:vMerge w:val="continue"/>
            <w:tcBorders>
              <w:top w:val="nil"/>
              <w:left w:val="single" w:color="000000" w:sz="4" w:space="0"/>
              <w:bottom w:val="single" w:color="000000" w:sz="4" w:space="0"/>
              <w:right w:val="single" w:color="000000" w:sz="4" w:space="0"/>
            </w:tcBorders>
            <w:vAlign w:val="center"/>
          </w:tcPr>
          <w:p w14:paraId="3643A177">
            <w:pPr>
              <w:jc w:val="center"/>
              <w:rPr>
                <w:del w:id="3" w:author="cc" w:date="2026-03-06T09:04:49Z"/>
                <w:rFonts w:hint="eastAsia" w:ascii="宋体" w:hAnsi="宋体" w:cs="宋体"/>
                <w:sz w:val="24"/>
              </w:rPr>
            </w:pPr>
          </w:p>
        </w:tc>
        <w:tc>
          <w:tcPr>
            <w:tcW w:w="1345" w:type="dxa"/>
            <w:tcBorders>
              <w:top w:val="nil"/>
              <w:left w:val="single" w:color="000000" w:sz="4" w:space="0"/>
              <w:bottom w:val="single" w:color="000000" w:sz="4" w:space="0"/>
              <w:right w:val="single" w:color="000000" w:sz="4" w:space="0"/>
            </w:tcBorders>
            <w:vAlign w:val="center"/>
          </w:tcPr>
          <w:p w14:paraId="1982AEAC">
            <w:pPr>
              <w:rPr>
                <w:del w:id="4" w:author="cc" w:date="2026-03-06T09:04:49Z"/>
                <w:rFonts w:hint="eastAsia" w:ascii="宋体" w:hAnsi="宋体" w:cs="宋体"/>
                <w:color w:val="000000"/>
                <w:sz w:val="24"/>
              </w:rPr>
            </w:pPr>
          </w:p>
        </w:tc>
        <w:tc>
          <w:tcPr>
            <w:tcW w:w="4913" w:type="dxa"/>
            <w:tcBorders>
              <w:top w:val="nil"/>
              <w:left w:val="single" w:color="000000" w:sz="4" w:space="0"/>
              <w:bottom w:val="single" w:color="000000" w:sz="4" w:space="0"/>
              <w:right w:val="single" w:color="000000" w:sz="4" w:space="0"/>
            </w:tcBorders>
            <w:vAlign w:val="center"/>
          </w:tcPr>
          <w:p w14:paraId="02038419">
            <w:pPr>
              <w:rPr>
                <w:del w:id="5" w:author="cc" w:date="2026-03-06T09:04:49Z"/>
                <w:rFonts w:hint="eastAsia" w:ascii="宋体" w:hAnsi="宋体" w:cs="宋体"/>
                <w:color w:val="000000"/>
                <w:sz w:val="24"/>
              </w:rPr>
            </w:pPr>
          </w:p>
        </w:tc>
        <w:tc>
          <w:tcPr>
            <w:tcW w:w="983" w:type="dxa"/>
            <w:tcBorders>
              <w:top w:val="nil"/>
              <w:left w:val="single" w:color="000000" w:sz="4" w:space="0"/>
              <w:bottom w:val="single" w:color="000000" w:sz="4" w:space="0"/>
              <w:right w:val="single" w:color="000000" w:sz="4" w:space="0"/>
            </w:tcBorders>
            <w:vAlign w:val="center"/>
          </w:tcPr>
          <w:p w14:paraId="00B199BD">
            <w:pPr>
              <w:jc w:val="center"/>
              <w:rPr>
                <w:del w:id="6" w:author="cc" w:date="2026-03-06T09:04:49Z"/>
                <w:rFonts w:hint="eastAsia" w:ascii="宋体" w:hAnsi="宋体" w:cs="宋体"/>
                <w:color w:val="000000"/>
                <w:sz w:val="24"/>
              </w:rPr>
            </w:pPr>
          </w:p>
        </w:tc>
      </w:tr>
      <w:tr w14:paraId="5B4005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continue"/>
            <w:tcBorders>
              <w:top w:val="nil"/>
              <w:left w:val="single" w:color="000000" w:sz="4" w:space="0"/>
              <w:bottom w:val="single" w:color="000000" w:sz="4" w:space="0"/>
              <w:right w:val="single" w:color="000000" w:sz="4" w:space="0"/>
            </w:tcBorders>
            <w:vAlign w:val="center"/>
          </w:tcPr>
          <w:p w14:paraId="49357E98">
            <w:pPr>
              <w:jc w:val="center"/>
              <w:rPr>
                <w:rFonts w:hint="eastAsia" w:ascii="宋体" w:hAnsi="宋体" w:cs="宋体"/>
                <w:sz w:val="24"/>
              </w:rPr>
            </w:pPr>
          </w:p>
        </w:tc>
        <w:tc>
          <w:tcPr>
            <w:tcW w:w="1345" w:type="dxa"/>
            <w:tcBorders>
              <w:top w:val="nil"/>
              <w:left w:val="single" w:color="000000" w:sz="4" w:space="0"/>
              <w:bottom w:val="single" w:color="000000" w:sz="4" w:space="0"/>
              <w:right w:val="single" w:color="000000" w:sz="4" w:space="0"/>
            </w:tcBorders>
            <w:vAlign w:val="center"/>
          </w:tcPr>
          <w:p w14:paraId="0B2A2680">
            <w:pPr>
              <w:jc w:val="center"/>
              <w:rPr>
                <w:rFonts w:hint="eastAsia" w:ascii="宋体" w:hAnsi="宋体" w:cs="宋体"/>
                <w:sz w:val="24"/>
              </w:rPr>
            </w:pPr>
            <w:r>
              <w:rPr>
                <w:rFonts w:hint="eastAsia" w:ascii="宋体" w:hAnsi="宋体" w:cs="宋体"/>
                <w:color w:val="000000"/>
                <w:sz w:val="24"/>
              </w:rPr>
              <w:t>保安</w:t>
            </w:r>
          </w:p>
        </w:tc>
        <w:tc>
          <w:tcPr>
            <w:tcW w:w="4913" w:type="dxa"/>
            <w:tcBorders>
              <w:top w:val="nil"/>
              <w:left w:val="single" w:color="000000" w:sz="4" w:space="0"/>
              <w:bottom w:val="single" w:color="000000" w:sz="4" w:space="0"/>
              <w:right w:val="single" w:color="000000" w:sz="4" w:space="0"/>
            </w:tcBorders>
            <w:vAlign w:val="center"/>
          </w:tcPr>
          <w:p w14:paraId="1D24550A">
            <w:pPr>
              <w:rPr>
                <w:sz w:val="24"/>
              </w:rPr>
            </w:pPr>
            <w:r>
              <w:rPr>
                <w:sz w:val="24"/>
              </w:rPr>
              <w:t>★</w:t>
            </w:r>
            <w:r>
              <w:rPr>
                <w:rFonts w:hint="eastAsia"/>
                <w:sz w:val="24"/>
              </w:rPr>
              <w:t>1</w:t>
            </w:r>
            <w:r>
              <w:rPr>
                <w:sz w:val="24"/>
              </w:rPr>
              <w:t>.均</w:t>
            </w:r>
            <w:r>
              <w:rPr>
                <w:rFonts w:hint="eastAsia"/>
                <w:sz w:val="24"/>
              </w:rPr>
              <w:t>需</w:t>
            </w:r>
            <w:r>
              <w:rPr>
                <w:sz w:val="24"/>
              </w:rPr>
              <w:t>具备有效的保安员证。（提交承诺函，承诺中标后配备符合上述要求的人员，承诺函可参照“投标文件格式与要求”中《承诺函》格式）</w:t>
            </w:r>
          </w:p>
          <w:p w14:paraId="3F5E36D3">
            <w:pPr>
              <w:rPr>
                <w:rFonts w:hint="eastAsia" w:ascii="宋体" w:hAnsi="宋体" w:cs="宋体"/>
                <w:sz w:val="24"/>
              </w:rPr>
            </w:pPr>
            <w:r>
              <w:rPr>
                <w:rFonts w:hint="eastAsia" w:ascii="宋体" w:hAnsi="宋体" w:cs="宋体"/>
                <w:color w:val="000000"/>
                <w:sz w:val="24"/>
              </w:rPr>
              <w:t>2.安全保卫、秩序维护、运送服务、大型活动保障、河堤巡查。其中大门岗24小时值守，门诊、</w:t>
            </w:r>
            <w:r>
              <w:rPr>
                <w:rFonts w:hint="eastAsia" w:ascii="宋体" w:hAnsi="宋体" w:cs="宋体"/>
                <w:color w:val="000000"/>
                <w:sz w:val="24"/>
                <w:lang w:eastAsia="zh-CN"/>
              </w:rPr>
              <w:t>康复科</w:t>
            </w:r>
            <w:r>
              <w:rPr>
                <w:rFonts w:hint="eastAsia" w:ascii="宋体" w:hAnsi="宋体" w:cs="宋体"/>
                <w:color w:val="000000"/>
                <w:sz w:val="24"/>
              </w:rPr>
              <w:t>周一至周五白天必有人值守；每天须定时巡逻并做好记录。</w:t>
            </w:r>
          </w:p>
        </w:tc>
        <w:tc>
          <w:tcPr>
            <w:tcW w:w="983" w:type="dxa"/>
            <w:tcBorders>
              <w:top w:val="nil"/>
              <w:left w:val="single" w:color="000000" w:sz="4" w:space="0"/>
              <w:bottom w:val="single" w:color="000000" w:sz="4" w:space="0"/>
              <w:right w:val="single" w:color="000000" w:sz="4" w:space="0"/>
            </w:tcBorders>
            <w:vAlign w:val="center"/>
          </w:tcPr>
          <w:p w14:paraId="19FD6E2D">
            <w:pPr>
              <w:jc w:val="center"/>
              <w:rPr>
                <w:rFonts w:hint="eastAsia" w:ascii="宋体" w:hAnsi="宋体" w:cs="宋体"/>
                <w:sz w:val="24"/>
              </w:rPr>
            </w:pPr>
            <w:r>
              <w:rPr>
                <w:rFonts w:hint="eastAsia" w:ascii="宋体" w:hAnsi="宋体" w:cs="宋体"/>
                <w:color w:val="000000"/>
                <w:sz w:val="24"/>
              </w:rPr>
              <w:t>5</w:t>
            </w:r>
          </w:p>
        </w:tc>
      </w:tr>
      <w:tr w14:paraId="5F9FDF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continue"/>
            <w:tcBorders>
              <w:top w:val="nil"/>
              <w:left w:val="single" w:color="000000" w:sz="4" w:space="0"/>
              <w:bottom w:val="single" w:color="000000" w:sz="4" w:space="0"/>
              <w:right w:val="single" w:color="000000" w:sz="4" w:space="0"/>
            </w:tcBorders>
            <w:vAlign w:val="center"/>
          </w:tcPr>
          <w:p w14:paraId="51F12662">
            <w:pPr>
              <w:jc w:val="center"/>
              <w:rPr>
                <w:rFonts w:hint="eastAsia" w:ascii="宋体" w:hAnsi="宋体" w:cs="宋体"/>
                <w:sz w:val="24"/>
              </w:rPr>
            </w:pPr>
          </w:p>
        </w:tc>
        <w:tc>
          <w:tcPr>
            <w:tcW w:w="1345" w:type="dxa"/>
            <w:tcBorders>
              <w:top w:val="nil"/>
              <w:left w:val="single" w:color="000000" w:sz="4" w:space="0"/>
              <w:bottom w:val="single" w:color="000000" w:sz="4" w:space="0"/>
              <w:right w:val="single" w:color="000000" w:sz="4" w:space="0"/>
            </w:tcBorders>
            <w:vAlign w:val="center"/>
          </w:tcPr>
          <w:p w14:paraId="10240DBF">
            <w:pPr>
              <w:jc w:val="center"/>
              <w:rPr>
                <w:rFonts w:hint="eastAsia" w:ascii="宋体" w:hAnsi="宋体" w:cs="宋体"/>
                <w:sz w:val="24"/>
              </w:rPr>
            </w:pPr>
            <w:r>
              <w:rPr>
                <w:rFonts w:hint="eastAsia" w:ascii="宋体" w:hAnsi="宋体" w:cs="宋体"/>
                <w:color w:val="000000"/>
                <w:sz w:val="24"/>
              </w:rPr>
              <w:t>绿化工</w:t>
            </w:r>
          </w:p>
        </w:tc>
        <w:tc>
          <w:tcPr>
            <w:tcW w:w="4913" w:type="dxa"/>
            <w:tcBorders>
              <w:top w:val="nil"/>
              <w:left w:val="single" w:color="000000" w:sz="4" w:space="0"/>
              <w:bottom w:val="single" w:color="000000" w:sz="4" w:space="0"/>
              <w:right w:val="single" w:color="000000" w:sz="4" w:space="0"/>
            </w:tcBorders>
            <w:vAlign w:val="center"/>
          </w:tcPr>
          <w:p w14:paraId="1E53AF0B">
            <w:pPr>
              <w:rPr>
                <w:rFonts w:hint="eastAsia" w:ascii="宋体" w:hAnsi="宋体" w:cs="宋体"/>
                <w:sz w:val="24"/>
              </w:rPr>
            </w:pPr>
            <w:r>
              <w:rPr>
                <w:rFonts w:hint="eastAsia" w:ascii="宋体" w:hAnsi="宋体" w:cs="宋体"/>
                <w:color w:val="000000"/>
                <w:sz w:val="24"/>
              </w:rPr>
              <w:t>院区绿化植物养护修剪、河堤沿线、泗安连接线等路边定期除草修剪、闸口水浮莲清除等。办公区、宿舍区户外（含道路）按时清扫。</w:t>
            </w:r>
          </w:p>
        </w:tc>
        <w:tc>
          <w:tcPr>
            <w:tcW w:w="983" w:type="dxa"/>
            <w:tcBorders>
              <w:top w:val="nil"/>
              <w:left w:val="single" w:color="000000" w:sz="4" w:space="0"/>
              <w:bottom w:val="single" w:color="000000" w:sz="4" w:space="0"/>
              <w:right w:val="single" w:color="000000" w:sz="4" w:space="0"/>
            </w:tcBorders>
            <w:vAlign w:val="center"/>
          </w:tcPr>
          <w:p w14:paraId="198C5843">
            <w:pPr>
              <w:jc w:val="center"/>
              <w:rPr>
                <w:rFonts w:hint="eastAsia" w:ascii="宋体" w:hAnsi="宋体" w:cs="宋体"/>
                <w:sz w:val="24"/>
              </w:rPr>
            </w:pPr>
            <w:r>
              <w:rPr>
                <w:rFonts w:hint="eastAsia" w:ascii="宋体" w:hAnsi="宋体" w:cs="宋体"/>
                <w:color w:val="000000"/>
                <w:sz w:val="24"/>
              </w:rPr>
              <w:t>2</w:t>
            </w:r>
          </w:p>
        </w:tc>
      </w:tr>
      <w:tr w14:paraId="7BEF26F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continue"/>
            <w:tcBorders>
              <w:top w:val="nil"/>
              <w:left w:val="single" w:color="000000" w:sz="4" w:space="0"/>
              <w:bottom w:val="single" w:color="000000" w:sz="4" w:space="0"/>
              <w:right w:val="single" w:color="000000" w:sz="4" w:space="0"/>
            </w:tcBorders>
            <w:vAlign w:val="center"/>
          </w:tcPr>
          <w:p w14:paraId="371ECB12">
            <w:pPr>
              <w:jc w:val="center"/>
              <w:rPr>
                <w:rFonts w:hint="eastAsia" w:ascii="宋体" w:hAnsi="宋体" w:cs="宋体"/>
                <w:sz w:val="24"/>
              </w:rPr>
            </w:pPr>
          </w:p>
        </w:tc>
        <w:tc>
          <w:tcPr>
            <w:tcW w:w="1345" w:type="dxa"/>
            <w:tcBorders>
              <w:top w:val="nil"/>
              <w:left w:val="single" w:color="000000" w:sz="4" w:space="0"/>
              <w:bottom w:val="single" w:color="000000" w:sz="4" w:space="0"/>
              <w:right w:val="single" w:color="000000" w:sz="4" w:space="0"/>
            </w:tcBorders>
            <w:vAlign w:val="center"/>
          </w:tcPr>
          <w:p w14:paraId="5B05BFB6">
            <w:pPr>
              <w:jc w:val="center"/>
              <w:rPr>
                <w:rFonts w:hint="eastAsia" w:ascii="宋体" w:hAnsi="宋体" w:cs="宋体"/>
                <w:sz w:val="24"/>
              </w:rPr>
            </w:pPr>
            <w:r>
              <w:rPr>
                <w:rFonts w:hint="eastAsia" w:ascii="宋体" w:hAnsi="宋体" w:cs="宋体"/>
                <w:color w:val="000000"/>
                <w:sz w:val="24"/>
              </w:rPr>
              <w:t>护工</w:t>
            </w:r>
          </w:p>
        </w:tc>
        <w:tc>
          <w:tcPr>
            <w:tcW w:w="4913" w:type="dxa"/>
            <w:tcBorders>
              <w:top w:val="nil"/>
              <w:left w:val="single" w:color="000000" w:sz="4" w:space="0"/>
              <w:bottom w:val="single" w:color="000000" w:sz="4" w:space="0"/>
              <w:right w:val="single" w:color="000000" w:sz="4" w:space="0"/>
            </w:tcBorders>
            <w:vAlign w:val="center"/>
          </w:tcPr>
          <w:p w14:paraId="4C17DD67">
            <w:pPr>
              <w:rPr>
                <w:rFonts w:hint="eastAsia" w:ascii="宋体" w:hAnsi="宋体" w:cs="宋体"/>
                <w:sz w:val="24"/>
              </w:rPr>
            </w:pPr>
            <w:r>
              <w:rPr>
                <w:rFonts w:hint="eastAsia" w:ascii="宋体" w:hAnsi="宋体" w:cs="宋体"/>
                <w:color w:val="000000"/>
                <w:sz w:val="24"/>
              </w:rPr>
              <w:t>保障24小时休养员生活护理服务，包括但不限于休养员宿舍卫生、衣服及床上用品换洗、洗澡、喂饭、送饭（药）、谈心、外出就诊陪护等。</w:t>
            </w:r>
          </w:p>
        </w:tc>
        <w:tc>
          <w:tcPr>
            <w:tcW w:w="983" w:type="dxa"/>
            <w:tcBorders>
              <w:top w:val="nil"/>
              <w:left w:val="single" w:color="000000" w:sz="4" w:space="0"/>
              <w:bottom w:val="single" w:color="000000" w:sz="4" w:space="0"/>
              <w:right w:val="single" w:color="000000" w:sz="4" w:space="0"/>
            </w:tcBorders>
            <w:vAlign w:val="center"/>
          </w:tcPr>
          <w:p w14:paraId="1EC26BF1">
            <w:pPr>
              <w:jc w:val="center"/>
              <w:rPr>
                <w:rFonts w:hint="eastAsia" w:ascii="宋体" w:hAnsi="宋体" w:cs="宋体"/>
                <w:sz w:val="24"/>
              </w:rPr>
            </w:pPr>
            <w:r>
              <w:rPr>
                <w:rFonts w:hint="eastAsia" w:ascii="宋体" w:hAnsi="宋体" w:cs="宋体"/>
                <w:color w:val="000000"/>
                <w:sz w:val="24"/>
              </w:rPr>
              <w:t>6</w:t>
            </w:r>
          </w:p>
        </w:tc>
      </w:tr>
      <w:tr w14:paraId="59736C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restart"/>
            <w:tcBorders>
              <w:top w:val="nil"/>
              <w:left w:val="single" w:color="000000" w:sz="4" w:space="0"/>
              <w:bottom w:val="single" w:color="000000" w:sz="4" w:space="0"/>
              <w:right w:val="single" w:color="000000" w:sz="4" w:space="0"/>
            </w:tcBorders>
            <w:vAlign w:val="center"/>
          </w:tcPr>
          <w:p w14:paraId="526CDA31">
            <w:pPr>
              <w:jc w:val="center"/>
              <w:rPr>
                <w:rFonts w:hint="eastAsia" w:ascii="宋体" w:hAnsi="宋体" w:cs="宋体"/>
                <w:sz w:val="24"/>
              </w:rPr>
            </w:pPr>
            <w:r>
              <w:rPr>
                <w:rFonts w:hint="eastAsia" w:ascii="宋体" w:hAnsi="宋体" w:cs="宋体"/>
                <w:color w:val="000000"/>
                <w:sz w:val="24"/>
              </w:rPr>
              <w:t>泗安院区东城门诊部</w:t>
            </w:r>
          </w:p>
        </w:tc>
        <w:tc>
          <w:tcPr>
            <w:tcW w:w="1345" w:type="dxa"/>
            <w:tcBorders>
              <w:top w:val="nil"/>
              <w:left w:val="single" w:color="000000" w:sz="4" w:space="0"/>
              <w:bottom w:val="single" w:color="000000" w:sz="4" w:space="0"/>
              <w:right w:val="single" w:color="000000" w:sz="4" w:space="0"/>
            </w:tcBorders>
            <w:vAlign w:val="center"/>
          </w:tcPr>
          <w:p w14:paraId="5A9D9B6F">
            <w:pPr>
              <w:jc w:val="center"/>
              <w:rPr>
                <w:rFonts w:hint="eastAsia" w:ascii="宋体" w:hAnsi="宋体" w:cs="宋体"/>
                <w:sz w:val="24"/>
              </w:rPr>
            </w:pPr>
            <w:r>
              <w:rPr>
                <w:rFonts w:hint="eastAsia" w:ascii="宋体" w:hAnsi="宋体" w:cs="宋体"/>
                <w:color w:val="000000"/>
                <w:sz w:val="24"/>
              </w:rPr>
              <w:t>保洁员</w:t>
            </w:r>
          </w:p>
        </w:tc>
        <w:tc>
          <w:tcPr>
            <w:tcW w:w="4913" w:type="dxa"/>
            <w:tcBorders>
              <w:top w:val="nil"/>
              <w:left w:val="single" w:color="000000" w:sz="4" w:space="0"/>
              <w:bottom w:val="single" w:color="000000" w:sz="4" w:space="0"/>
              <w:right w:val="single" w:color="000000" w:sz="4" w:space="0"/>
            </w:tcBorders>
            <w:vAlign w:val="center"/>
          </w:tcPr>
          <w:p w14:paraId="193C6BA8">
            <w:pPr>
              <w:rPr>
                <w:rFonts w:hint="eastAsia" w:ascii="宋体" w:hAnsi="宋体" w:cs="宋体"/>
                <w:sz w:val="24"/>
              </w:rPr>
            </w:pPr>
            <w:r>
              <w:rPr>
                <w:rFonts w:hint="eastAsia" w:ascii="宋体" w:hAnsi="宋体" w:cs="宋体"/>
                <w:color w:val="000000"/>
                <w:sz w:val="24"/>
              </w:rPr>
              <w:t>门诊楼、办公楼室内外（含停车场）、宿舍楼走廊、公用宿舍等清洁卫生服务；门诊医疗垃圾清运及平台登记交接，保障每天白天在岗。</w:t>
            </w:r>
          </w:p>
        </w:tc>
        <w:tc>
          <w:tcPr>
            <w:tcW w:w="983" w:type="dxa"/>
            <w:tcBorders>
              <w:top w:val="nil"/>
              <w:left w:val="single" w:color="000000" w:sz="4" w:space="0"/>
              <w:bottom w:val="single" w:color="000000" w:sz="4" w:space="0"/>
              <w:right w:val="single" w:color="000000" w:sz="4" w:space="0"/>
            </w:tcBorders>
            <w:vAlign w:val="center"/>
          </w:tcPr>
          <w:p w14:paraId="49D15C14">
            <w:pPr>
              <w:jc w:val="center"/>
              <w:rPr>
                <w:rFonts w:hint="eastAsia" w:ascii="宋体" w:hAnsi="宋体" w:cs="宋体"/>
                <w:sz w:val="24"/>
              </w:rPr>
            </w:pPr>
            <w:r>
              <w:rPr>
                <w:rFonts w:hint="eastAsia" w:ascii="宋体" w:hAnsi="宋体" w:cs="宋体"/>
                <w:color w:val="000000"/>
                <w:sz w:val="24"/>
              </w:rPr>
              <w:t>3</w:t>
            </w:r>
          </w:p>
        </w:tc>
      </w:tr>
      <w:tr w14:paraId="58B358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continue"/>
            <w:tcBorders>
              <w:top w:val="nil"/>
              <w:left w:val="single" w:color="000000" w:sz="4" w:space="0"/>
              <w:bottom w:val="single" w:color="000000" w:sz="4" w:space="0"/>
              <w:right w:val="single" w:color="000000" w:sz="4" w:space="0"/>
            </w:tcBorders>
            <w:vAlign w:val="center"/>
          </w:tcPr>
          <w:p w14:paraId="7A450174">
            <w:pPr>
              <w:jc w:val="center"/>
              <w:rPr>
                <w:rFonts w:hint="eastAsia" w:ascii="宋体" w:hAnsi="宋体" w:cs="宋体"/>
                <w:sz w:val="24"/>
              </w:rPr>
            </w:pPr>
          </w:p>
        </w:tc>
        <w:tc>
          <w:tcPr>
            <w:tcW w:w="1345" w:type="dxa"/>
            <w:tcBorders>
              <w:top w:val="nil"/>
              <w:left w:val="single" w:color="000000" w:sz="4" w:space="0"/>
              <w:bottom w:val="single" w:color="000000" w:sz="4" w:space="0"/>
              <w:right w:val="single" w:color="000000" w:sz="4" w:space="0"/>
            </w:tcBorders>
            <w:vAlign w:val="center"/>
          </w:tcPr>
          <w:p w14:paraId="67193446">
            <w:pPr>
              <w:jc w:val="center"/>
              <w:rPr>
                <w:rFonts w:hint="eastAsia" w:ascii="宋体" w:hAnsi="宋体" w:cs="宋体"/>
                <w:sz w:val="24"/>
              </w:rPr>
            </w:pPr>
            <w:r>
              <w:rPr>
                <w:rFonts w:hint="eastAsia" w:ascii="宋体" w:hAnsi="宋体" w:cs="宋体"/>
                <w:color w:val="000000"/>
                <w:sz w:val="24"/>
              </w:rPr>
              <w:t>水电工</w:t>
            </w:r>
          </w:p>
        </w:tc>
        <w:tc>
          <w:tcPr>
            <w:tcW w:w="4913" w:type="dxa"/>
            <w:tcBorders>
              <w:top w:val="nil"/>
              <w:left w:val="single" w:color="000000" w:sz="4" w:space="0"/>
              <w:bottom w:val="single" w:color="000000" w:sz="4" w:space="0"/>
              <w:right w:val="single" w:color="000000" w:sz="4" w:space="0"/>
            </w:tcBorders>
            <w:vAlign w:val="center"/>
          </w:tcPr>
          <w:p w14:paraId="5CDA1200">
            <w:pPr>
              <w:rPr>
                <w:rFonts w:hint="eastAsia" w:ascii="宋体" w:hAnsi="宋体" w:cs="宋体"/>
                <w:color w:val="000000"/>
                <w:sz w:val="24"/>
              </w:rPr>
            </w:pPr>
            <w:r>
              <w:rPr>
                <w:sz w:val="24"/>
              </w:rPr>
              <w:t>★</w:t>
            </w:r>
            <w:r>
              <w:rPr>
                <w:rFonts w:hint="eastAsia" w:ascii="宋体" w:hAnsi="宋体" w:cs="宋体"/>
                <w:color w:val="000000"/>
                <w:sz w:val="24"/>
              </w:rPr>
              <w:t>1.均须持有</w:t>
            </w:r>
            <w:r>
              <w:rPr>
                <w:sz w:val="24"/>
              </w:rPr>
              <w:t>有效的《特种作业操作证》（操作项目：电工作业）</w:t>
            </w:r>
            <w:r>
              <w:rPr>
                <w:rFonts w:hint="eastAsia"/>
                <w:sz w:val="24"/>
              </w:rPr>
              <w:t>。</w:t>
            </w:r>
            <w:r>
              <w:rPr>
                <w:sz w:val="24"/>
              </w:rPr>
              <w:t>（提交承诺函，承诺中标后配备符合上述要求的人员，承诺函可参照“投标文件格式与要求”中《承诺函》格式）</w:t>
            </w:r>
            <w:r>
              <w:rPr>
                <w:rFonts w:hint="eastAsia" w:ascii="宋体" w:hAnsi="宋体" w:cs="宋体"/>
                <w:color w:val="000000"/>
                <w:sz w:val="24"/>
              </w:rPr>
              <w:t>。</w:t>
            </w:r>
          </w:p>
          <w:p w14:paraId="00EFE909">
            <w:pPr>
              <w:rPr>
                <w:rFonts w:hint="eastAsia" w:ascii="宋体" w:hAnsi="宋体" w:cs="宋体"/>
                <w:sz w:val="24"/>
              </w:rPr>
            </w:pPr>
            <w:r>
              <w:rPr>
                <w:rFonts w:hint="eastAsia" w:ascii="宋体" w:hAnsi="宋体" w:cs="宋体"/>
                <w:color w:val="000000"/>
                <w:sz w:val="24"/>
              </w:rPr>
              <w:t>2.东城、莞城院区一般通用水电设备、仪器、电梯等设施维护服务。保障24小时在岗。</w:t>
            </w:r>
          </w:p>
        </w:tc>
        <w:tc>
          <w:tcPr>
            <w:tcW w:w="983" w:type="dxa"/>
            <w:tcBorders>
              <w:top w:val="nil"/>
              <w:left w:val="single" w:color="000000" w:sz="4" w:space="0"/>
              <w:bottom w:val="single" w:color="000000" w:sz="4" w:space="0"/>
              <w:right w:val="single" w:color="000000" w:sz="4" w:space="0"/>
            </w:tcBorders>
            <w:vAlign w:val="center"/>
          </w:tcPr>
          <w:p w14:paraId="250417D2">
            <w:pPr>
              <w:jc w:val="center"/>
              <w:rPr>
                <w:rFonts w:hint="eastAsia" w:ascii="宋体" w:hAnsi="宋体" w:cs="宋体"/>
                <w:sz w:val="24"/>
              </w:rPr>
            </w:pPr>
            <w:r>
              <w:rPr>
                <w:rFonts w:hint="eastAsia" w:ascii="宋体" w:hAnsi="宋体" w:cs="宋体"/>
                <w:color w:val="000000"/>
                <w:sz w:val="24"/>
              </w:rPr>
              <w:t>2</w:t>
            </w:r>
          </w:p>
        </w:tc>
      </w:tr>
      <w:tr w14:paraId="6849C4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continue"/>
            <w:tcBorders>
              <w:top w:val="nil"/>
              <w:left w:val="single" w:color="000000" w:sz="4" w:space="0"/>
              <w:bottom w:val="single" w:color="000000" w:sz="4" w:space="0"/>
              <w:right w:val="single" w:color="000000" w:sz="4" w:space="0"/>
            </w:tcBorders>
            <w:vAlign w:val="center"/>
          </w:tcPr>
          <w:p w14:paraId="7AF06244">
            <w:pPr>
              <w:jc w:val="center"/>
              <w:rPr>
                <w:rFonts w:hint="eastAsia" w:ascii="宋体" w:hAnsi="宋体" w:cs="宋体"/>
                <w:sz w:val="24"/>
              </w:rPr>
            </w:pPr>
          </w:p>
        </w:tc>
        <w:tc>
          <w:tcPr>
            <w:tcW w:w="1345" w:type="dxa"/>
            <w:tcBorders>
              <w:top w:val="nil"/>
              <w:left w:val="single" w:color="000000" w:sz="4" w:space="0"/>
              <w:bottom w:val="single" w:color="000000" w:sz="4" w:space="0"/>
              <w:right w:val="single" w:color="000000" w:sz="4" w:space="0"/>
            </w:tcBorders>
            <w:vAlign w:val="center"/>
          </w:tcPr>
          <w:p w14:paraId="275F4523">
            <w:pPr>
              <w:jc w:val="center"/>
              <w:rPr>
                <w:rFonts w:hint="eastAsia" w:ascii="宋体" w:hAnsi="宋体" w:cs="宋体"/>
                <w:sz w:val="24"/>
              </w:rPr>
            </w:pPr>
            <w:r>
              <w:rPr>
                <w:rFonts w:hint="eastAsia" w:ascii="宋体" w:hAnsi="宋体" w:cs="宋体"/>
                <w:color w:val="000000"/>
                <w:sz w:val="24"/>
              </w:rPr>
              <w:t>保安</w:t>
            </w:r>
          </w:p>
        </w:tc>
        <w:tc>
          <w:tcPr>
            <w:tcW w:w="4913" w:type="dxa"/>
            <w:tcBorders>
              <w:top w:val="nil"/>
              <w:left w:val="single" w:color="000000" w:sz="4" w:space="0"/>
              <w:bottom w:val="single" w:color="000000" w:sz="4" w:space="0"/>
              <w:right w:val="single" w:color="000000" w:sz="4" w:space="0"/>
            </w:tcBorders>
            <w:vAlign w:val="center"/>
          </w:tcPr>
          <w:p w14:paraId="190B04DD">
            <w:pPr>
              <w:rPr>
                <w:sz w:val="24"/>
              </w:rPr>
            </w:pPr>
            <w:r>
              <w:rPr>
                <w:sz w:val="24"/>
              </w:rPr>
              <w:t>★</w:t>
            </w:r>
            <w:r>
              <w:rPr>
                <w:rFonts w:hint="eastAsia"/>
                <w:sz w:val="24"/>
              </w:rPr>
              <w:t>1</w:t>
            </w:r>
            <w:r>
              <w:rPr>
                <w:sz w:val="24"/>
              </w:rPr>
              <w:t>.均具备有效的保安员证。（提交承诺函，承诺中标后配备符合上述要求的人员，承诺函可参照“投标文件格式与要求”中《承诺函》格式）</w:t>
            </w:r>
          </w:p>
          <w:p w14:paraId="7AB07B6C">
            <w:pPr>
              <w:rPr>
                <w:rFonts w:hint="eastAsia" w:ascii="宋体" w:hAnsi="宋体" w:cs="宋体"/>
                <w:sz w:val="24"/>
              </w:rPr>
            </w:pPr>
            <w:r>
              <w:rPr>
                <w:rFonts w:hint="eastAsia" w:ascii="宋体" w:hAnsi="宋体" w:cs="宋体"/>
                <w:color w:val="000000"/>
                <w:sz w:val="24"/>
              </w:rPr>
              <w:t>2.安全保卫、秩序维护、指挥车辆停放，运送服务（含送餐），其中门岗24小时值守。</w:t>
            </w:r>
          </w:p>
        </w:tc>
        <w:tc>
          <w:tcPr>
            <w:tcW w:w="983" w:type="dxa"/>
            <w:tcBorders>
              <w:top w:val="nil"/>
              <w:left w:val="single" w:color="000000" w:sz="4" w:space="0"/>
              <w:bottom w:val="single" w:color="000000" w:sz="4" w:space="0"/>
              <w:right w:val="single" w:color="000000" w:sz="4" w:space="0"/>
            </w:tcBorders>
            <w:vAlign w:val="center"/>
          </w:tcPr>
          <w:p w14:paraId="2674C3E9">
            <w:pPr>
              <w:jc w:val="center"/>
              <w:rPr>
                <w:rFonts w:hint="eastAsia" w:ascii="宋体" w:hAnsi="宋体" w:cs="宋体"/>
                <w:sz w:val="24"/>
              </w:rPr>
            </w:pPr>
            <w:r>
              <w:rPr>
                <w:rFonts w:hint="eastAsia" w:ascii="宋体" w:hAnsi="宋体" w:cs="宋体"/>
                <w:color w:val="000000"/>
                <w:sz w:val="24"/>
              </w:rPr>
              <w:t>6</w:t>
            </w:r>
          </w:p>
        </w:tc>
      </w:tr>
      <w:tr w14:paraId="18BB7C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continue"/>
            <w:tcBorders>
              <w:top w:val="nil"/>
              <w:left w:val="single" w:color="000000" w:sz="4" w:space="0"/>
              <w:bottom w:val="single" w:color="auto" w:sz="4" w:space="0"/>
              <w:right w:val="single" w:color="000000" w:sz="4" w:space="0"/>
            </w:tcBorders>
            <w:vAlign w:val="center"/>
          </w:tcPr>
          <w:p w14:paraId="1707B996">
            <w:pPr>
              <w:jc w:val="center"/>
              <w:rPr>
                <w:rFonts w:hint="eastAsia" w:ascii="宋体" w:hAnsi="宋体" w:cs="宋体"/>
                <w:sz w:val="24"/>
              </w:rPr>
            </w:pPr>
          </w:p>
        </w:tc>
        <w:tc>
          <w:tcPr>
            <w:tcW w:w="1345" w:type="dxa"/>
            <w:tcBorders>
              <w:top w:val="nil"/>
              <w:left w:val="single" w:color="000000" w:sz="4" w:space="0"/>
              <w:bottom w:val="single" w:color="auto" w:sz="4" w:space="0"/>
              <w:right w:val="single" w:color="000000" w:sz="4" w:space="0"/>
            </w:tcBorders>
            <w:vAlign w:val="center"/>
          </w:tcPr>
          <w:p w14:paraId="2B40DC5A">
            <w:pPr>
              <w:jc w:val="center"/>
              <w:rPr>
                <w:rFonts w:hint="eastAsia" w:ascii="宋体" w:hAnsi="宋体" w:cs="宋体"/>
                <w:sz w:val="24"/>
              </w:rPr>
            </w:pPr>
            <w:r>
              <w:rPr>
                <w:rFonts w:hint="eastAsia" w:ascii="宋体" w:hAnsi="宋体" w:cs="宋体"/>
                <w:color w:val="000000"/>
                <w:sz w:val="24"/>
              </w:rPr>
              <w:t>项目副经理</w:t>
            </w:r>
          </w:p>
        </w:tc>
        <w:tc>
          <w:tcPr>
            <w:tcW w:w="4913" w:type="dxa"/>
            <w:tcBorders>
              <w:top w:val="nil"/>
              <w:left w:val="single" w:color="000000" w:sz="4" w:space="0"/>
              <w:bottom w:val="single" w:color="auto" w:sz="4" w:space="0"/>
              <w:right w:val="single" w:color="000000" w:sz="4" w:space="0"/>
            </w:tcBorders>
            <w:vAlign w:val="center"/>
          </w:tcPr>
          <w:p w14:paraId="7B20225B">
            <w:pPr>
              <w:rPr>
                <w:rFonts w:hint="eastAsia" w:ascii="宋体" w:hAnsi="宋体" w:cs="宋体"/>
                <w:color w:val="000000"/>
                <w:sz w:val="24"/>
              </w:rPr>
            </w:pPr>
            <w:r>
              <w:rPr>
                <w:rFonts w:hint="eastAsia" w:ascii="宋体" w:hAnsi="宋体" w:cs="宋体"/>
                <w:color w:val="000000"/>
                <w:sz w:val="24"/>
              </w:rPr>
              <w:t>1.具备大专或以上学历。</w:t>
            </w:r>
          </w:p>
          <w:p w14:paraId="18831C9B">
            <w:pPr>
              <w:rPr>
                <w:rFonts w:hint="eastAsia" w:ascii="宋体" w:hAnsi="宋体" w:cs="宋体"/>
                <w:sz w:val="24"/>
              </w:rPr>
            </w:pPr>
            <w:r>
              <w:rPr>
                <w:rFonts w:hint="eastAsia" w:ascii="宋体" w:hAnsi="宋体" w:cs="宋体"/>
                <w:color w:val="000000"/>
                <w:sz w:val="24"/>
              </w:rPr>
              <w:t>2.具有5年或以上作为项目经理的物业管理经验，负责物管团队管理和专业培训、应急事项处置以及与院方对接协调。</w:t>
            </w:r>
          </w:p>
        </w:tc>
        <w:tc>
          <w:tcPr>
            <w:tcW w:w="983" w:type="dxa"/>
            <w:tcBorders>
              <w:top w:val="nil"/>
              <w:left w:val="single" w:color="000000" w:sz="4" w:space="0"/>
              <w:bottom w:val="single" w:color="auto" w:sz="4" w:space="0"/>
              <w:right w:val="single" w:color="000000" w:sz="4" w:space="0"/>
            </w:tcBorders>
            <w:vAlign w:val="center"/>
          </w:tcPr>
          <w:p w14:paraId="18B52727">
            <w:pPr>
              <w:jc w:val="center"/>
              <w:rPr>
                <w:rFonts w:hint="eastAsia" w:ascii="宋体" w:hAnsi="宋体" w:cs="宋体"/>
                <w:sz w:val="24"/>
              </w:rPr>
            </w:pPr>
            <w:r>
              <w:rPr>
                <w:rFonts w:hint="eastAsia" w:ascii="宋体" w:hAnsi="宋体" w:cs="宋体"/>
                <w:color w:val="000000"/>
                <w:sz w:val="24"/>
              </w:rPr>
              <w:t>1</w:t>
            </w:r>
          </w:p>
        </w:tc>
      </w:tr>
      <w:tr w14:paraId="3AC1073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restart"/>
            <w:tcBorders>
              <w:top w:val="single" w:color="auto" w:sz="4" w:space="0"/>
              <w:left w:val="single" w:color="auto" w:sz="4" w:space="0"/>
              <w:bottom w:val="single" w:color="auto" w:sz="4" w:space="0"/>
              <w:right w:val="single" w:color="auto" w:sz="4" w:space="0"/>
            </w:tcBorders>
            <w:vAlign w:val="center"/>
          </w:tcPr>
          <w:p w14:paraId="0FAFF77A">
            <w:pPr>
              <w:jc w:val="center"/>
              <w:rPr>
                <w:rFonts w:hint="eastAsia" w:ascii="宋体" w:hAnsi="宋体" w:cs="宋体"/>
                <w:sz w:val="24"/>
              </w:rPr>
            </w:pPr>
            <w:r>
              <w:rPr>
                <w:rFonts w:hint="eastAsia" w:ascii="宋体" w:hAnsi="宋体" w:cs="宋体"/>
                <w:color w:val="000000"/>
                <w:sz w:val="24"/>
              </w:rPr>
              <w:t>泗安院区莞城门诊部</w:t>
            </w:r>
          </w:p>
        </w:tc>
        <w:tc>
          <w:tcPr>
            <w:tcW w:w="1345" w:type="dxa"/>
            <w:tcBorders>
              <w:top w:val="single" w:color="auto" w:sz="4" w:space="0"/>
              <w:left w:val="single" w:color="auto" w:sz="4" w:space="0"/>
              <w:bottom w:val="single" w:color="auto" w:sz="4" w:space="0"/>
              <w:right w:val="single" w:color="auto" w:sz="4" w:space="0"/>
            </w:tcBorders>
            <w:vAlign w:val="center"/>
          </w:tcPr>
          <w:p w14:paraId="628BE478">
            <w:pPr>
              <w:jc w:val="center"/>
              <w:rPr>
                <w:rFonts w:hint="eastAsia" w:ascii="宋体" w:hAnsi="宋体" w:cs="宋体"/>
                <w:sz w:val="24"/>
              </w:rPr>
            </w:pPr>
            <w:r>
              <w:rPr>
                <w:rFonts w:hint="eastAsia" w:ascii="宋体" w:hAnsi="宋体" w:cs="宋体"/>
                <w:color w:val="000000"/>
                <w:sz w:val="24"/>
              </w:rPr>
              <w:t>保洁员</w:t>
            </w:r>
          </w:p>
        </w:tc>
        <w:tc>
          <w:tcPr>
            <w:tcW w:w="4913" w:type="dxa"/>
            <w:tcBorders>
              <w:top w:val="single" w:color="auto" w:sz="4" w:space="0"/>
              <w:left w:val="single" w:color="auto" w:sz="4" w:space="0"/>
              <w:bottom w:val="single" w:color="auto" w:sz="4" w:space="0"/>
              <w:right w:val="single" w:color="auto" w:sz="4" w:space="0"/>
            </w:tcBorders>
            <w:vAlign w:val="center"/>
          </w:tcPr>
          <w:p w14:paraId="7BEC8BD5">
            <w:pPr>
              <w:rPr>
                <w:rFonts w:hint="eastAsia" w:ascii="宋体" w:hAnsi="宋体" w:cs="宋体"/>
                <w:sz w:val="24"/>
              </w:rPr>
            </w:pPr>
            <w:r>
              <w:rPr>
                <w:rFonts w:hint="eastAsia" w:ascii="宋体" w:hAnsi="宋体" w:cs="宋体"/>
                <w:color w:val="000000"/>
                <w:sz w:val="24"/>
              </w:rPr>
              <w:t>门诊楼室内外（含停车场）、宿舍走廊清洁卫生服务，门诊医疗垃圾清运至暂存间及平台登记交接。</w:t>
            </w:r>
          </w:p>
        </w:tc>
        <w:tc>
          <w:tcPr>
            <w:tcW w:w="983" w:type="dxa"/>
            <w:tcBorders>
              <w:top w:val="single" w:color="auto" w:sz="4" w:space="0"/>
              <w:left w:val="single" w:color="auto" w:sz="4" w:space="0"/>
              <w:bottom w:val="single" w:color="auto" w:sz="4" w:space="0"/>
              <w:right w:val="single" w:color="auto" w:sz="4" w:space="0"/>
            </w:tcBorders>
            <w:vAlign w:val="center"/>
          </w:tcPr>
          <w:p w14:paraId="72AC2856">
            <w:pPr>
              <w:jc w:val="center"/>
              <w:rPr>
                <w:rFonts w:hint="eastAsia" w:ascii="宋体" w:hAnsi="宋体" w:cs="宋体"/>
                <w:sz w:val="24"/>
              </w:rPr>
            </w:pPr>
            <w:r>
              <w:rPr>
                <w:rFonts w:hint="eastAsia" w:ascii="宋体" w:hAnsi="宋体" w:cs="宋体"/>
                <w:color w:val="000000"/>
                <w:sz w:val="24"/>
              </w:rPr>
              <w:t>2</w:t>
            </w:r>
          </w:p>
        </w:tc>
      </w:tr>
      <w:tr w14:paraId="51B3DDD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continue"/>
            <w:tcBorders>
              <w:top w:val="single" w:color="auto" w:sz="4" w:space="0"/>
              <w:left w:val="single" w:color="auto" w:sz="4" w:space="0"/>
              <w:bottom w:val="single" w:color="auto" w:sz="4" w:space="0"/>
              <w:right w:val="single" w:color="auto" w:sz="4" w:space="0"/>
            </w:tcBorders>
            <w:vAlign w:val="center"/>
          </w:tcPr>
          <w:p w14:paraId="440886B4">
            <w:pPr>
              <w:jc w:val="center"/>
              <w:rPr>
                <w:rFonts w:hint="eastAsia" w:ascii="宋体" w:hAnsi="宋体" w:cs="宋体"/>
                <w:sz w:val="24"/>
              </w:rPr>
            </w:pPr>
          </w:p>
        </w:tc>
        <w:tc>
          <w:tcPr>
            <w:tcW w:w="1345" w:type="dxa"/>
            <w:tcBorders>
              <w:top w:val="single" w:color="auto" w:sz="4" w:space="0"/>
              <w:left w:val="single" w:color="auto" w:sz="4" w:space="0"/>
              <w:bottom w:val="single" w:color="auto" w:sz="4" w:space="0"/>
              <w:right w:val="single" w:color="auto" w:sz="4" w:space="0"/>
            </w:tcBorders>
            <w:vAlign w:val="center"/>
          </w:tcPr>
          <w:p w14:paraId="5F20398C">
            <w:pPr>
              <w:jc w:val="center"/>
              <w:rPr>
                <w:rFonts w:hint="eastAsia" w:ascii="宋体" w:hAnsi="宋体" w:cs="宋体"/>
                <w:sz w:val="24"/>
              </w:rPr>
            </w:pPr>
            <w:r>
              <w:rPr>
                <w:rFonts w:hint="eastAsia" w:ascii="宋体" w:hAnsi="宋体" w:cs="宋体"/>
                <w:color w:val="000000"/>
                <w:sz w:val="24"/>
              </w:rPr>
              <w:t>保安</w:t>
            </w:r>
          </w:p>
        </w:tc>
        <w:tc>
          <w:tcPr>
            <w:tcW w:w="4913" w:type="dxa"/>
            <w:tcBorders>
              <w:top w:val="single" w:color="auto" w:sz="4" w:space="0"/>
              <w:left w:val="single" w:color="auto" w:sz="4" w:space="0"/>
              <w:bottom w:val="single" w:color="auto" w:sz="4" w:space="0"/>
              <w:right w:val="single" w:color="auto" w:sz="4" w:space="0"/>
            </w:tcBorders>
            <w:vAlign w:val="center"/>
          </w:tcPr>
          <w:p w14:paraId="1811A2FF">
            <w:pPr>
              <w:rPr>
                <w:sz w:val="24"/>
              </w:rPr>
            </w:pPr>
            <w:r>
              <w:rPr>
                <w:sz w:val="24"/>
              </w:rPr>
              <w:t>★</w:t>
            </w:r>
            <w:r>
              <w:rPr>
                <w:rFonts w:hint="eastAsia"/>
                <w:sz w:val="24"/>
              </w:rPr>
              <w:t>1</w:t>
            </w:r>
            <w:r>
              <w:rPr>
                <w:sz w:val="24"/>
              </w:rPr>
              <w:t>.均具备有效的保安员证。（提交承诺函，承诺中标后配备符合上述要求的人员，承诺函可参照“投标文件格式与要求”中《承诺函》格式）</w:t>
            </w:r>
          </w:p>
          <w:p w14:paraId="1F4D9364">
            <w:pPr>
              <w:rPr>
                <w:rFonts w:hint="eastAsia" w:ascii="宋体" w:hAnsi="宋体" w:cs="宋体"/>
                <w:sz w:val="24"/>
              </w:rPr>
            </w:pPr>
            <w:r>
              <w:rPr>
                <w:rFonts w:hint="eastAsia" w:ascii="宋体" w:hAnsi="宋体" w:cs="宋体"/>
                <w:color w:val="000000"/>
                <w:sz w:val="24"/>
              </w:rPr>
              <w:t>2.安全保卫、秩序维护、运送服务，其中门岗24小时值守。</w:t>
            </w:r>
          </w:p>
        </w:tc>
        <w:tc>
          <w:tcPr>
            <w:tcW w:w="983" w:type="dxa"/>
            <w:tcBorders>
              <w:top w:val="single" w:color="auto" w:sz="4" w:space="0"/>
              <w:left w:val="single" w:color="auto" w:sz="4" w:space="0"/>
              <w:bottom w:val="single" w:color="auto" w:sz="4" w:space="0"/>
              <w:right w:val="single" w:color="auto" w:sz="4" w:space="0"/>
            </w:tcBorders>
            <w:vAlign w:val="center"/>
          </w:tcPr>
          <w:p w14:paraId="4315CDF1">
            <w:pPr>
              <w:jc w:val="center"/>
              <w:rPr>
                <w:rFonts w:hint="eastAsia" w:ascii="宋体" w:hAnsi="宋体" w:cs="宋体"/>
                <w:sz w:val="24"/>
              </w:rPr>
            </w:pPr>
            <w:r>
              <w:rPr>
                <w:rFonts w:hint="eastAsia" w:ascii="宋体" w:hAnsi="宋体" w:cs="宋体"/>
                <w:color w:val="000000"/>
                <w:sz w:val="24"/>
              </w:rPr>
              <w:t>3</w:t>
            </w:r>
          </w:p>
        </w:tc>
      </w:tr>
      <w:tr w14:paraId="48E1624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63" w:type="dxa"/>
            <w:gridSpan w:val="2"/>
            <w:tcBorders>
              <w:top w:val="single" w:color="auto" w:sz="4" w:space="0"/>
              <w:left w:val="single" w:color="auto" w:sz="4" w:space="0"/>
              <w:bottom w:val="single" w:color="auto" w:sz="4" w:space="0"/>
              <w:right w:val="single" w:color="auto" w:sz="4" w:space="0"/>
            </w:tcBorders>
            <w:vAlign w:val="center"/>
          </w:tcPr>
          <w:p w14:paraId="77D31179">
            <w:pPr>
              <w:jc w:val="center"/>
              <w:rPr>
                <w:rFonts w:hint="eastAsia" w:ascii="宋体" w:hAnsi="宋体" w:cs="宋体"/>
                <w:sz w:val="24"/>
              </w:rPr>
            </w:pPr>
            <w:r>
              <w:rPr>
                <w:rFonts w:hint="eastAsia" w:ascii="宋体" w:hAnsi="宋体" w:cs="宋体"/>
                <w:color w:val="000000"/>
                <w:sz w:val="24"/>
              </w:rPr>
              <w:t>泗安院区合计</w:t>
            </w:r>
          </w:p>
        </w:tc>
        <w:tc>
          <w:tcPr>
            <w:tcW w:w="4913" w:type="dxa"/>
            <w:tcBorders>
              <w:top w:val="single" w:color="auto" w:sz="4" w:space="0"/>
              <w:left w:val="single" w:color="auto" w:sz="4" w:space="0"/>
              <w:bottom w:val="single" w:color="auto" w:sz="4" w:space="0"/>
              <w:right w:val="single" w:color="auto" w:sz="4" w:space="0"/>
            </w:tcBorders>
            <w:vAlign w:val="center"/>
          </w:tcPr>
          <w:p w14:paraId="0500D0F2">
            <w:pPr>
              <w:rPr>
                <w:rFonts w:hint="eastAsia" w:ascii="宋体" w:hAnsi="宋体" w:cs="宋体"/>
                <w:sz w:val="24"/>
              </w:rPr>
            </w:pPr>
          </w:p>
        </w:tc>
        <w:tc>
          <w:tcPr>
            <w:tcW w:w="983" w:type="dxa"/>
            <w:tcBorders>
              <w:top w:val="single" w:color="auto" w:sz="4" w:space="0"/>
              <w:left w:val="single" w:color="auto" w:sz="4" w:space="0"/>
              <w:bottom w:val="single" w:color="auto" w:sz="4" w:space="0"/>
              <w:right w:val="single" w:color="auto" w:sz="4" w:space="0"/>
            </w:tcBorders>
            <w:vAlign w:val="center"/>
          </w:tcPr>
          <w:p w14:paraId="1B904B99">
            <w:pPr>
              <w:jc w:val="center"/>
              <w:rPr>
                <w:rFonts w:hint="default" w:ascii="宋体" w:hAnsi="宋体" w:eastAsia="宋体" w:cs="宋体"/>
                <w:sz w:val="24"/>
                <w:lang w:val="en-US" w:eastAsia="zh-CN"/>
              </w:rPr>
            </w:pPr>
            <w:r>
              <w:rPr>
                <w:rFonts w:hint="eastAsia" w:ascii="宋体" w:hAnsi="宋体" w:cs="宋体"/>
                <w:sz w:val="24"/>
                <w:lang w:val="en-US" w:eastAsia="zh-CN"/>
              </w:rPr>
              <w:t>37</w:t>
            </w:r>
          </w:p>
        </w:tc>
      </w:tr>
      <w:tr w14:paraId="3CA799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restart"/>
            <w:tcBorders>
              <w:top w:val="single" w:color="auto" w:sz="4" w:space="0"/>
              <w:left w:val="single" w:color="auto" w:sz="4" w:space="0"/>
              <w:bottom w:val="single" w:color="auto" w:sz="4" w:space="0"/>
              <w:right w:val="single" w:color="auto" w:sz="4" w:space="0"/>
            </w:tcBorders>
            <w:vAlign w:val="center"/>
          </w:tcPr>
          <w:p w14:paraId="798AB0C4">
            <w:pPr>
              <w:jc w:val="center"/>
              <w:rPr>
                <w:rFonts w:hint="eastAsia" w:ascii="宋体" w:hAnsi="宋体" w:cs="宋体"/>
                <w:color w:val="000000"/>
                <w:sz w:val="24"/>
              </w:rPr>
            </w:pPr>
            <w:r>
              <w:rPr>
                <w:rFonts w:hint="eastAsia" w:ascii="宋体" w:hAnsi="宋体" w:cs="宋体"/>
                <w:color w:val="000000"/>
                <w:sz w:val="24"/>
              </w:rPr>
              <w:t>天河院区</w:t>
            </w:r>
          </w:p>
        </w:tc>
        <w:tc>
          <w:tcPr>
            <w:tcW w:w="1345" w:type="dxa"/>
            <w:tcBorders>
              <w:top w:val="single" w:color="auto" w:sz="4" w:space="0"/>
              <w:left w:val="single" w:color="auto" w:sz="4" w:space="0"/>
              <w:bottom w:val="single" w:color="auto" w:sz="4" w:space="0"/>
              <w:right w:val="single" w:color="auto" w:sz="4" w:space="0"/>
            </w:tcBorders>
            <w:vAlign w:val="center"/>
          </w:tcPr>
          <w:p w14:paraId="6C2F8EC4">
            <w:pPr>
              <w:jc w:val="center"/>
              <w:rPr>
                <w:rFonts w:hint="eastAsia" w:ascii="宋体" w:hAnsi="宋体" w:cs="宋体"/>
                <w:color w:val="000000"/>
                <w:sz w:val="24"/>
              </w:rPr>
            </w:pPr>
            <w:r>
              <w:rPr>
                <w:rFonts w:hint="eastAsia" w:ascii="宋体" w:hAnsi="宋体" w:cs="宋体"/>
                <w:color w:val="000000"/>
                <w:sz w:val="24"/>
              </w:rPr>
              <w:t>保安</w:t>
            </w:r>
          </w:p>
        </w:tc>
        <w:tc>
          <w:tcPr>
            <w:tcW w:w="4913" w:type="dxa"/>
            <w:tcBorders>
              <w:top w:val="single" w:color="auto" w:sz="4" w:space="0"/>
              <w:left w:val="single" w:color="auto" w:sz="4" w:space="0"/>
              <w:bottom w:val="single" w:color="auto" w:sz="4" w:space="0"/>
              <w:right w:val="single" w:color="auto" w:sz="4" w:space="0"/>
            </w:tcBorders>
            <w:vAlign w:val="center"/>
          </w:tcPr>
          <w:p w14:paraId="20C50775">
            <w:pPr>
              <w:rPr>
                <w:sz w:val="24"/>
              </w:rPr>
            </w:pPr>
            <w:r>
              <w:rPr>
                <w:sz w:val="24"/>
              </w:rPr>
              <w:t>★</w:t>
            </w:r>
            <w:r>
              <w:rPr>
                <w:rFonts w:hint="eastAsia"/>
                <w:sz w:val="24"/>
              </w:rPr>
              <w:t>1</w:t>
            </w:r>
            <w:r>
              <w:rPr>
                <w:sz w:val="24"/>
              </w:rPr>
              <w:t>.均具备有效的保安员证。（提交承诺函，承诺中标后配备符合上述要求的人员，承诺函可参照“投标文件格式与要求”中《承诺函》格式）</w:t>
            </w:r>
          </w:p>
          <w:p w14:paraId="7F309998">
            <w:pPr>
              <w:rPr>
                <w:rFonts w:hint="eastAsia" w:ascii="宋体" w:hAnsi="宋体" w:cs="宋体"/>
                <w:sz w:val="24"/>
              </w:rPr>
            </w:pPr>
            <w:r>
              <w:rPr>
                <w:rFonts w:hint="eastAsia" w:ascii="宋体" w:hAnsi="宋体" w:cs="宋体"/>
                <w:color w:val="000000"/>
                <w:sz w:val="24"/>
              </w:rPr>
              <w:t>2.负责安全保卫、秩序维护、指挥车辆停放以及运送服务（搬运物资设备等）。其中门岗24小时值守。</w:t>
            </w:r>
          </w:p>
        </w:tc>
        <w:tc>
          <w:tcPr>
            <w:tcW w:w="983" w:type="dxa"/>
            <w:tcBorders>
              <w:top w:val="single" w:color="auto" w:sz="4" w:space="0"/>
              <w:left w:val="single" w:color="auto" w:sz="4" w:space="0"/>
              <w:bottom w:val="single" w:color="auto" w:sz="4" w:space="0"/>
              <w:right w:val="single" w:color="auto" w:sz="4" w:space="0"/>
            </w:tcBorders>
            <w:vAlign w:val="center"/>
          </w:tcPr>
          <w:p w14:paraId="1BA97119">
            <w:pPr>
              <w:jc w:val="center"/>
              <w:rPr>
                <w:rFonts w:hint="eastAsia" w:ascii="宋体" w:hAnsi="宋体" w:cs="宋体"/>
                <w:color w:val="000000"/>
                <w:sz w:val="24"/>
              </w:rPr>
            </w:pPr>
            <w:r>
              <w:rPr>
                <w:rFonts w:hint="eastAsia" w:ascii="宋体" w:hAnsi="宋体" w:cs="宋体"/>
                <w:color w:val="000000"/>
                <w:sz w:val="24"/>
              </w:rPr>
              <w:t>3</w:t>
            </w:r>
          </w:p>
        </w:tc>
      </w:tr>
      <w:tr w14:paraId="63960E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continue"/>
            <w:tcBorders>
              <w:top w:val="single" w:color="auto" w:sz="4" w:space="0"/>
              <w:left w:val="single" w:color="auto" w:sz="4" w:space="0"/>
              <w:bottom w:val="single" w:color="auto" w:sz="4" w:space="0"/>
              <w:right w:val="single" w:color="auto" w:sz="4" w:space="0"/>
            </w:tcBorders>
            <w:vAlign w:val="center"/>
          </w:tcPr>
          <w:p w14:paraId="77876BFB">
            <w:pPr>
              <w:jc w:val="center"/>
              <w:rPr>
                <w:rFonts w:hint="eastAsia" w:ascii="宋体" w:hAnsi="宋体" w:cs="宋体"/>
                <w:color w:val="000000"/>
                <w:sz w:val="24"/>
              </w:rPr>
            </w:pPr>
          </w:p>
        </w:tc>
        <w:tc>
          <w:tcPr>
            <w:tcW w:w="1345" w:type="dxa"/>
            <w:tcBorders>
              <w:top w:val="single" w:color="auto" w:sz="4" w:space="0"/>
              <w:left w:val="single" w:color="auto" w:sz="4" w:space="0"/>
              <w:bottom w:val="single" w:color="auto" w:sz="4" w:space="0"/>
              <w:right w:val="single" w:color="auto" w:sz="4" w:space="0"/>
            </w:tcBorders>
            <w:vAlign w:val="center"/>
          </w:tcPr>
          <w:p w14:paraId="46B4B5AF">
            <w:pPr>
              <w:jc w:val="center"/>
              <w:rPr>
                <w:rFonts w:hint="eastAsia" w:ascii="宋体" w:hAnsi="宋体" w:cs="宋体"/>
                <w:color w:val="000000"/>
                <w:sz w:val="24"/>
              </w:rPr>
            </w:pPr>
            <w:r>
              <w:rPr>
                <w:rFonts w:hint="eastAsia" w:ascii="宋体" w:hAnsi="宋体" w:cs="宋体"/>
                <w:color w:val="000000"/>
                <w:sz w:val="24"/>
              </w:rPr>
              <w:t>保洁</w:t>
            </w:r>
          </w:p>
        </w:tc>
        <w:tc>
          <w:tcPr>
            <w:tcW w:w="4913" w:type="dxa"/>
            <w:tcBorders>
              <w:top w:val="single" w:color="auto" w:sz="4" w:space="0"/>
              <w:left w:val="single" w:color="auto" w:sz="4" w:space="0"/>
              <w:bottom w:val="single" w:color="auto" w:sz="4" w:space="0"/>
              <w:right w:val="single" w:color="auto" w:sz="4" w:space="0"/>
            </w:tcBorders>
            <w:vAlign w:val="center"/>
          </w:tcPr>
          <w:p w14:paraId="2141FCF2">
            <w:pPr>
              <w:rPr>
                <w:rFonts w:hint="eastAsia" w:ascii="宋体" w:hAnsi="宋体" w:cs="宋体"/>
                <w:sz w:val="24"/>
              </w:rPr>
            </w:pPr>
            <w:r>
              <w:rPr>
                <w:rFonts w:hint="eastAsia" w:ascii="宋体" w:hAnsi="宋体" w:cs="宋体"/>
                <w:color w:val="000000"/>
                <w:sz w:val="24"/>
              </w:rPr>
              <w:t>室内外清洁卫生服务；门诊医疗垃圾清运及平台登记交接。保障每天白天在岗。</w:t>
            </w:r>
          </w:p>
        </w:tc>
        <w:tc>
          <w:tcPr>
            <w:tcW w:w="983" w:type="dxa"/>
            <w:tcBorders>
              <w:top w:val="single" w:color="auto" w:sz="4" w:space="0"/>
              <w:left w:val="single" w:color="auto" w:sz="4" w:space="0"/>
              <w:bottom w:val="single" w:color="auto" w:sz="4" w:space="0"/>
              <w:right w:val="single" w:color="auto" w:sz="4" w:space="0"/>
            </w:tcBorders>
            <w:vAlign w:val="center"/>
          </w:tcPr>
          <w:p w14:paraId="5E283F1D">
            <w:pPr>
              <w:jc w:val="center"/>
              <w:rPr>
                <w:rFonts w:hint="eastAsia" w:ascii="宋体" w:hAnsi="宋体" w:cs="宋体"/>
                <w:color w:val="000000"/>
                <w:sz w:val="24"/>
              </w:rPr>
            </w:pPr>
            <w:r>
              <w:rPr>
                <w:rFonts w:hint="eastAsia" w:ascii="宋体" w:hAnsi="宋体" w:cs="宋体"/>
                <w:color w:val="000000"/>
                <w:sz w:val="24"/>
              </w:rPr>
              <w:t>2</w:t>
            </w:r>
          </w:p>
        </w:tc>
      </w:tr>
      <w:tr w14:paraId="7305D4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63" w:type="dxa"/>
            <w:gridSpan w:val="2"/>
            <w:tcBorders>
              <w:top w:val="single" w:color="auto" w:sz="4" w:space="0"/>
              <w:left w:val="single" w:color="000000" w:sz="4" w:space="0"/>
              <w:bottom w:val="single" w:color="auto" w:sz="4" w:space="0"/>
              <w:right w:val="single" w:color="000000" w:sz="4" w:space="0"/>
            </w:tcBorders>
            <w:vAlign w:val="center"/>
          </w:tcPr>
          <w:p w14:paraId="1C0442A7">
            <w:pPr>
              <w:jc w:val="center"/>
              <w:rPr>
                <w:rFonts w:hint="eastAsia" w:ascii="宋体" w:hAnsi="宋体" w:cs="宋体"/>
                <w:color w:val="000000"/>
                <w:sz w:val="24"/>
              </w:rPr>
            </w:pPr>
            <w:r>
              <w:rPr>
                <w:rFonts w:hint="eastAsia" w:ascii="宋体" w:hAnsi="宋体" w:cs="宋体"/>
                <w:color w:val="000000"/>
                <w:sz w:val="24"/>
              </w:rPr>
              <w:t>天河院区合计</w:t>
            </w:r>
          </w:p>
        </w:tc>
        <w:tc>
          <w:tcPr>
            <w:tcW w:w="4913" w:type="dxa"/>
            <w:tcBorders>
              <w:top w:val="single" w:color="auto" w:sz="4" w:space="0"/>
              <w:left w:val="single" w:color="000000" w:sz="4" w:space="0"/>
              <w:bottom w:val="single" w:color="auto" w:sz="4" w:space="0"/>
              <w:right w:val="single" w:color="000000" w:sz="4" w:space="0"/>
            </w:tcBorders>
            <w:vAlign w:val="center"/>
          </w:tcPr>
          <w:p w14:paraId="4A6C7690">
            <w:pPr>
              <w:jc w:val="center"/>
              <w:rPr>
                <w:rFonts w:hint="eastAsia" w:ascii="宋体" w:hAnsi="宋体" w:cs="宋体"/>
                <w:sz w:val="24"/>
              </w:rPr>
            </w:pPr>
          </w:p>
        </w:tc>
        <w:tc>
          <w:tcPr>
            <w:tcW w:w="983" w:type="dxa"/>
            <w:tcBorders>
              <w:top w:val="single" w:color="auto" w:sz="4" w:space="0"/>
              <w:left w:val="single" w:color="000000" w:sz="4" w:space="0"/>
              <w:bottom w:val="single" w:color="auto" w:sz="4" w:space="0"/>
              <w:right w:val="single" w:color="000000" w:sz="4" w:space="0"/>
            </w:tcBorders>
            <w:vAlign w:val="center"/>
          </w:tcPr>
          <w:p w14:paraId="21311E40">
            <w:pPr>
              <w:jc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5</w:t>
            </w:r>
          </w:p>
        </w:tc>
      </w:tr>
      <w:tr w14:paraId="176EA7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63" w:type="dxa"/>
            <w:gridSpan w:val="2"/>
            <w:tcBorders>
              <w:top w:val="single" w:color="auto" w:sz="4" w:space="0"/>
              <w:left w:val="single" w:color="000000" w:sz="4" w:space="0"/>
              <w:bottom w:val="single" w:color="000000" w:sz="4" w:space="0"/>
              <w:right w:val="single" w:color="000000" w:sz="4" w:space="0"/>
            </w:tcBorders>
            <w:vAlign w:val="center"/>
          </w:tcPr>
          <w:p w14:paraId="7B4FAAB9">
            <w:pPr>
              <w:jc w:val="center"/>
              <w:rPr>
                <w:rFonts w:hint="eastAsia" w:ascii="宋体" w:hAnsi="宋体" w:cs="宋体"/>
                <w:color w:val="000000"/>
                <w:sz w:val="24"/>
              </w:rPr>
            </w:pPr>
            <w:r>
              <w:rPr>
                <w:rFonts w:hint="eastAsia" w:ascii="宋体" w:hAnsi="宋体" w:cs="宋体"/>
                <w:color w:val="000000"/>
                <w:sz w:val="24"/>
              </w:rPr>
              <w:t>总计</w:t>
            </w:r>
          </w:p>
        </w:tc>
        <w:tc>
          <w:tcPr>
            <w:tcW w:w="4913" w:type="dxa"/>
            <w:tcBorders>
              <w:top w:val="single" w:color="auto" w:sz="4" w:space="0"/>
              <w:left w:val="single" w:color="000000" w:sz="4" w:space="0"/>
              <w:bottom w:val="single" w:color="000000" w:sz="4" w:space="0"/>
              <w:right w:val="single" w:color="000000" w:sz="4" w:space="0"/>
            </w:tcBorders>
            <w:vAlign w:val="center"/>
          </w:tcPr>
          <w:p w14:paraId="08F9ECE3">
            <w:pPr>
              <w:jc w:val="center"/>
              <w:rPr>
                <w:rFonts w:hint="eastAsia" w:ascii="宋体" w:hAnsi="宋体" w:cs="宋体"/>
                <w:sz w:val="24"/>
              </w:rPr>
            </w:pPr>
          </w:p>
        </w:tc>
        <w:tc>
          <w:tcPr>
            <w:tcW w:w="983" w:type="dxa"/>
            <w:tcBorders>
              <w:top w:val="single" w:color="auto" w:sz="4" w:space="0"/>
              <w:left w:val="single" w:color="000000" w:sz="4" w:space="0"/>
              <w:bottom w:val="single" w:color="000000" w:sz="4" w:space="0"/>
              <w:right w:val="single" w:color="000000" w:sz="4" w:space="0"/>
            </w:tcBorders>
            <w:vAlign w:val="center"/>
          </w:tcPr>
          <w:p w14:paraId="118333ED">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42</w:t>
            </w:r>
          </w:p>
        </w:tc>
      </w:tr>
    </w:tbl>
    <w:p w14:paraId="1BFAB68D">
      <w:pPr>
        <w:spacing w:line="360" w:lineRule="auto"/>
        <w:ind w:firstLine="480" w:firstLineChars="200"/>
        <w:rPr>
          <w:rFonts w:hint="eastAsia" w:ascii="宋体" w:hAnsi="宋体" w:cs="宋体"/>
          <w:sz w:val="24"/>
        </w:rPr>
      </w:pPr>
      <w:r>
        <w:rPr>
          <w:rFonts w:hint="eastAsia" w:ascii="宋体" w:hAnsi="宋体" w:cs="宋体"/>
          <w:sz w:val="24"/>
        </w:rPr>
        <w:t>2.组织架构：投标方须派驻经验丰富的项目经理，组建专职管理团队，架构清晰。</w:t>
      </w:r>
    </w:p>
    <w:p w14:paraId="7550F3CB">
      <w:pPr>
        <w:spacing w:line="360" w:lineRule="auto"/>
        <w:ind w:firstLine="480" w:firstLineChars="200"/>
        <w:rPr>
          <w:rFonts w:hint="eastAsia" w:ascii="宋体" w:hAnsi="宋体" w:cs="宋体"/>
          <w:sz w:val="24"/>
        </w:rPr>
      </w:pPr>
      <w:r>
        <w:rPr>
          <w:rFonts w:hint="eastAsia" w:ascii="宋体" w:hAnsi="宋体" w:cs="宋体"/>
          <w:sz w:val="24"/>
        </w:rPr>
        <w:t>3.人员素质：所有员工需背景审查、体检合格。特殊岗位（如运送、感控区域保洁）需持证或经专业培训。统一着装、佩戴工牌、行为规范。</w:t>
      </w:r>
    </w:p>
    <w:p w14:paraId="269927A8">
      <w:pPr>
        <w:spacing w:line="360" w:lineRule="auto"/>
        <w:ind w:firstLine="480" w:firstLineChars="200"/>
        <w:rPr>
          <w:rFonts w:hint="eastAsia" w:ascii="宋体" w:hAnsi="宋体" w:cs="宋体"/>
          <w:sz w:val="24"/>
        </w:rPr>
      </w:pPr>
      <w:r>
        <w:rPr>
          <w:rFonts w:hint="eastAsia" w:ascii="宋体" w:hAnsi="宋体" w:cs="宋体"/>
          <w:sz w:val="24"/>
        </w:rPr>
        <w:t>4.劳动关系：服务人员劳动关系归属投标方，其薪酬、社保、意外保险等由投标方完全负责。</w:t>
      </w:r>
    </w:p>
    <w:p w14:paraId="35BEAB36">
      <w:pPr>
        <w:pStyle w:val="3"/>
        <w:numPr>
          <w:ilvl w:val="255"/>
          <w:numId w:val="0"/>
        </w:numPr>
      </w:pPr>
      <w:r>
        <w:rPr>
          <w:rFonts w:hint="eastAsia"/>
        </w:rPr>
        <w:t xml:space="preserve">  </w:t>
      </w:r>
      <w:r>
        <w:rPr>
          <w:rFonts w:hint="eastAsia" w:ascii="宋体" w:hAnsi="宋体"/>
          <w:b w:val="0"/>
        </w:rPr>
        <w:t xml:space="preserve">  5.岗位调配：本项目服务人员的工作地点覆盖招采购人所辖全部院区。投标人应将该要求纳入岗位职责说明，确保所有人员知悉并接受：根据后勤保障需求，工作院区可能发生变动，人员须服从统一安排。</w:t>
      </w:r>
    </w:p>
    <w:p w14:paraId="5BAF4602">
      <w:pPr>
        <w:spacing w:line="360" w:lineRule="auto"/>
        <w:rPr>
          <w:rFonts w:hint="eastAsia" w:ascii="宋体" w:hAnsi="宋体" w:cs="宋体"/>
          <w:sz w:val="24"/>
        </w:rPr>
      </w:pPr>
      <w:r>
        <w:rPr>
          <w:rFonts w:hint="eastAsia" w:ascii="宋体" w:hAnsi="宋体" w:cs="宋体"/>
          <w:sz w:val="24"/>
        </w:rPr>
        <w:t>（三）服务质量标准与考核</w:t>
      </w:r>
    </w:p>
    <w:p w14:paraId="158611AF">
      <w:pPr>
        <w:spacing w:line="360" w:lineRule="auto"/>
        <w:ind w:firstLine="480" w:firstLineChars="200"/>
        <w:rPr>
          <w:rFonts w:hint="eastAsia" w:ascii="宋体" w:hAnsi="宋体" w:cs="宋体"/>
          <w:sz w:val="24"/>
        </w:rPr>
      </w:pPr>
      <w:r>
        <w:rPr>
          <w:rFonts w:hint="eastAsia" w:ascii="宋体" w:hAnsi="宋体" w:cs="宋体"/>
          <w:sz w:val="24"/>
        </w:rPr>
        <w:t>1.量化指标：制定明确的响应时间、完成率、合格率、满意率等KPI指标（如：报修响应时间≤15分钟，保洁区域合格率≥98%，患者/医护人员满意度≥90%）。</w:t>
      </w:r>
    </w:p>
    <w:p w14:paraId="08804397">
      <w:pPr>
        <w:spacing w:line="360" w:lineRule="auto"/>
        <w:ind w:firstLine="480" w:firstLineChars="200"/>
        <w:rPr>
          <w:rFonts w:hint="eastAsia" w:ascii="宋体" w:hAnsi="宋体" w:cs="宋体"/>
          <w:sz w:val="24"/>
        </w:rPr>
      </w:pPr>
      <w:r>
        <w:rPr>
          <w:rFonts w:hint="eastAsia" w:ascii="宋体" w:hAnsi="宋体" w:cs="宋体"/>
          <w:sz w:val="24"/>
        </w:rPr>
        <w:t>2.考核办法：建立日常巡检、月度考评、季度评估、年度总评相结合的考核机制，考核结果与服务费用支付挂钩。</w:t>
      </w:r>
    </w:p>
    <w:p w14:paraId="36AD722F">
      <w:pPr>
        <w:numPr>
          <w:ilvl w:val="255"/>
          <w:numId w:val="0"/>
        </w:numPr>
        <w:spacing w:before="156" w:after="156" w:line="360" w:lineRule="auto"/>
        <w:ind w:firstLine="480" w:firstLineChars="200"/>
      </w:pPr>
      <w:r>
        <w:rPr>
          <w:rFonts w:hint="eastAsia" w:ascii="宋体" w:hAnsi="宋体" w:cs="宋体"/>
          <w:sz w:val="24"/>
        </w:rPr>
        <w:t>3.监督机制：中心后勤管理部门及临床科室有权进行监督与评价，投标方须接受并整改。</w:t>
      </w:r>
    </w:p>
    <w:p w14:paraId="4A0D5221">
      <w:pPr>
        <w:spacing w:line="360" w:lineRule="auto"/>
        <w:rPr>
          <w:b/>
          <w:sz w:val="24"/>
        </w:rPr>
      </w:pPr>
      <w:r>
        <w:rPr>
          <w:rFonts w:hint="eastAsia"/>
          <w:b/>
          <w:sz w:val="24"/>
        </w:rPr>
        <w:t>二、广东省公共卫生医学中心食堂服务采购需求</w:t>
      </w:r>
    </w:p>
    <w:p w14:paraId="73847C55">
      <w:pPr>
        <w:pStyle w:val="8"/>
        <w:widowControl/>
        <w:spacing w:line="360" w:lineRule="auto"/>
        <w:jc w:val="both"/>
        <w:rPr>
          <w:bCs/>
        </w:rPr>
      </w:pPr>
      <w:r>
        <w:rPr>
          <w:bCs/>
        </w:rPr>
        <w:t>（一）项目基本概况及目标</w:t>
      </w:r>
    </w:p>
    <w:p w14:paraId="737649AA">
      <w:pPr>
        <w:pStyle w:val="8"/>
        <w:widowControl/>
        <w:spacing w:line="360" w:lineRule="auto"/>
        <w:ind w:firstLine="480" w:firstLineChars="200"/>
        <w:jc w:val="both"/>
        <w:rPr>
          <w:bCs/>
        </w:rPr>
      </w:pPr>
      <w:r>
        <w:rPr>
          <w:rFonts w:hint="default"/>
          <w:bCs/>
        </w:rPr>
        <w:t>1、配置厨师负责饭堂运作及管理工作，</w:t>
      </w:r>
      <w:r>
        <w:rPr>
          <w:rFonts w:hint="eastAsia"/>
          <w:bCs/>
          <w:lang w:eastAsia="zh-CN"/>
        </w:rPr>
        <w:t>采购人负责提供场地、水电及现有厨房基本设备。共设立</w:t>
      </w:r>
      <w:r>
        <w:rPr>
          <w:rFonts w:hint="eastAsia"/>
          <w:bCs/>
          <w:lang w:val="en-US" w:eastAsia="zh-CN"/>
        </w:rPr>
        <w:t>4个饭堂，其中：</w:t>
      </w:r>
      <w:r>
        <w:rPr>
          <w:bCs/>
        </w:rPr>
        <w:t>天河院区设立一个饭堂，供职工使用，设1名厨师、1名厨工；</w:t>
      </w:r>
      <w:r>
        <w:rPr>
          <w:rFonts w:hint="default"/>
          <w:bCs/>
        </w:rPr>
        <w:t>麻涌院区</w:t>
      </w:r>
      <w:r>
        <w:rPr>
          <w:bCs/>
        </w:rPr>
        <w:t>设立</w:t>
      </w:r>
      <w:r>
        <w:rPr>
          <w:rFonts w:hint="default"/>
          <w:bCs/>
        </w:rPr>
        <w:t>两个饭堂，一个是</w:t>
      </w:r>
      <w:r>
        <w:rPr>
          <w:bCs/>
        </w:rPr>
        <w:t>职工饭堂</w:t>
      </w:r>
      <w:r>
        <w:rPr>
          <w:rFonts w:hint="default"/>
          <w:bCs/>
        </w:rPr>
        <w:t>，另一个是</w:t>
      </w:r>
      <w:r>
        <w:rPr>
          <w:rFonts w:hint="eastAsia"/>
          <w:bCs/>
          <w:lang w:eastAsia="zh-CN"/>
        </w:rPr>
        <w:t>康复科</w:t>
      </w:r>
      <w:r>
        <w:rPr>
          <w:bCs/>
        </w:rPr>
        <w:t>饭堂</w:t>
      </w:r>
      <w:r>
        <w:rPr>
          <w:rFonts w:hint="default"/>
          <w:bCs/>
        </w:rPr>
        <w:t>，共设2名厨师，2名厨工；东城院区</w:t>
      </w:r>
      <w:r>
        <w:rPr>
          <w:rFonts w:hint="eastAsia"/>
          <w:bCs/>
          <w:lang w:eastAsia="zh-CN"/>
        </w:rPr>
        <w:t>设立一个饭堂</w:t>
      </w:r>
      <w:r>
        <w:rPr>
          <w:rFonts w:hint="default"/>
          <w:bCs/>
        </w:rPr>
        <w:t>，设 1 名厨师， 1 名厨工</w:t>
      </w:r>
      <w:r>
        <w:rPr>
          <w:rFonts w:hint="eastAsia"/>
          <w:bCs/>
          <w:lang w:eastAsia="zh-CN"/>
        </w:rPr>
        <w:t>，供东城和</w:t>
      </w:r>
      <w:r>
        <w:rPr>
          <w:rFonts w:hint="default"/>
          <w:bCs/>
        </w:rPr>
        <w:t>莞城院区</w:t>
      </w:r>
      <w:r>
        <w:rPr>
          <w:rFonts w:hint="eastAsia"/>
          <w:bCs/>
          <w:lang w:eastAsia="zh-CN"/>
        </w:rPr>
        <w:t>职工共同使用，莞城院区的</w:t>
      </w:r>
      <w:r>
        <w:rPr>
          <w:rFonts w:hint="default"/>
          <w:bCs/>
        </w:rPr>
        <w:t>早餐</w:t>
      </w:r>
      <w:r>
        <w:rPr>
          <w:rFonts w:hint="eastAsia"/>
          <w:bCs/>
          <w:lang w:eastAsia="zh-CN"/>
        </w:rPr>
        <w:t>、午</w:t>
      </w:r>
      <w:r>
        <w:rPr>
          <w:rFonts w:hint="default"/>
          <w:bCs/>
        </w:rPr>
        <w:t>餐由东城院区</w:t>
      </w:r>
      <w:r>
        <w:rPr>
          <w:rFonts w:hint="eastAsia"/>
          <w:bCs/>
          <w:lang w:eastAsia="zh-CN"/>
        </w:rPr>
        <w:t>统一</w:t>
      </w:r>
      <w:r>
        <w:rPr>
          <w:rFonts w:hint="default"/>
          <w:bCs/>
        </w:rPr>
        <w:t>配送，</w:t>
      </w:r>
      <w:r>
        <w:rPr>
          <w:rFonts w:hint="eastAsia"/>
          <w:bCs/>
          <w:lang w:eastAsia="zh-CN"/>
        </w:rPr>
        <w:t>需</w:t>
      </w:r>
      <w:r>
        <w:rPr>
          <w:rFonts w:hint="default"/>
          <w:bCs/>
        </w:rPr>
        <w:t>由物业公司负责配送</w:t>
      </w:r>
      <w:r>
        <w:rPr>
          <w:rFonts w:hint="eastAsia"/>
          <w:bCs/>
          <w:lang w:eastAsia="zh-CN"/>
        </w:rPr>
        <w:t>服务</w:t>
      </w:r>
      <w:r>
        <w:rPr>
          <w:rFonts w:hint="default"/>
          <w:bCs/>
        </w:rPr>
        <w:t>。</w:t>
      </w:r>
    </w:p>
    <w:p w14:paraId="1E9E4352">
      <w:pPr>
        <w:pStyle w:val="8"/>
        <w:widowControl/>
        <w:spacing w:line="360" w:lineRule="auto"/>
        <w:ind w:firstLine="480" w:firstLineChars="200"/>
        <w:jc w:val="both"/>
        <w:rPr>
          <w:bCs/>
        </w:rPr>
      </w:pPr>
      <w:r>
        <w:rPr>
          <w:rFonts w:hint="default"/>
          <w:bCs/>
        </w:rPr>
        <w:t>2、厨师素质要求：1）具有</w:t>
      </w:r>
      <w:r>
        <w:rPr>
          <w:rFonts w:hint="eastAsia"/>
          <w:bCs/>
          <w:lang w:eastAsia="zh-CN"/>
        </w:rPr>
        <w:t>三</w:t>
      </w:r>
      <w:r>
        <w:rPr>
          <w:rFonts w:hint="default"/>
          <w:bCs/>
        </w:rPr>
        <w:t>年或以上厨师经验；2）具有</w:t>
      </w:r>
      <w:r>
        <w:rPr>
          <w:bCs/>
        </w:rPr>
        <w:t>相应食品人员从业</w:t>
      </w:r>
      <w:r>
        <w:rPr>
          <w:rFonts w:hint="default"/>
          <w:bCs/>
        </w:rPr>
        <w:t>健康</w:t>
      </w:r>
      <w:r>
        <w:rPr>
          <w:bCs/>
        </w:rPr>
        <w:t>证明</w:t>
      </w:r>
      <w:r>
        <w:rPr>
          <w:rFonts w:hint="default"/>
          <w:bCs/>
        </w:rPr>
        <w:t>；3）踏实、勤快、吃苦耐劳、具有诚信度；4）待人热情，有良好的服务意识；5）爱清洁，注重个人和环境卫生。</w:t>
      </w:r>
    </w:p>
    <w:p w14:paraId="1B37F6ED">
      <w:pPr>
        <w:pStyle w:val="8"/>
        <w:widowControl/>
        <w:spacing w:line="360" w:lineRule="auto"/>
        <w:ind w:firstLine="480" w:firstLineChars="200"/>
        <w:jc w:val="both"/>
        <w:rPr>
          <w:rFonts w:hint="default"/>
          <w:bCs/>
        </w:rPr>
      </w:pPr>
      <w:r>
        <w:rPr>
          <w:rFonts w:hint="default"/>
          <w:bCs/>
        </w:rPr>
        <w:t>3、</w:t>
      </w:r>
      <w:r>
        <w:rPr>
          <w:rFonts w:hint="eastAsia"/>
          <w:bCs/>
          <w:lang w:eastAsia="zh-CN"/>
        </w:rPr>
        <w:t>康复科</w:t>
      </w:r>
      <w:r>
        <w:rPr>
          <w:bCs/>
        </w:rPr>
        <w:t>饭堂须</w:t>
      </w:r>
      <w:r>
        <w:rPr>
          <w:rFonts w:hint="eastAsia"/>
          <w:bCs/>
          <w:lang w:eastAsia="zh-CN"/>
        </w:rPr>
        <w:t>全年提供三</w:t>
      </w:r>
      <w:r>
        <w:rPr>
          <w:bCs/>
        </w:rPr>
        <w:t>餐，不可停餐。</w:t>
      </w:r>
      <w:r>
        <w:rPr>
          <w:rFonts w:hint="eastAsia"/>
          <w:bCs/>
          <w:lang w:eastAsia="zh-CN"/>
        </w:rPr>
        <w:t>其余饭堂按日常工作时间提供早餐、午餐，如特殊情况需提供用餐的，需配合采购人工作安排</w:t>
      </w:r>
      <w:r>
        <w:rPr>
          <w:rFonts w:hint="default"/>
          <w:bCs/>
        </w:rPr>
        <w:t>。</w:t>
      </w:r>
    </w:p>
    <w:p w14:paraId="6E179A69">
      <w:pPr>
        <w:pStyle w:val="8"/>
        <w:widowControl/>
        <w:spacing w:line="360" w:lineRule="auto"/>
        <w:ind w:firstLine="480" w:firstLineChars="200"/>
        <w:jc w:val="both"/>
        <w:rPr>
          <w:bCs/>
        </w:rPr>
      </w:pPr>
      <w:r>
        <w:rPr>
          <w:rFonts w:hint="default"/>
          <w:bCs/>
        </w:rPr>
        <w:t>4.</w:t>
      </w:r>
      <w:r>
        <w:rPr>
          <w:bCs/>
        </w:rPr>
        <w:t>中心</w:t>
      </w:r>
      <w:r>
        <w:rPr>
          <w:rFonts w:hint="default"/>
          <w:bCs/>
        </w:rPr>
        <w:t>食堂运作模式改变时，配合</w:t>
      </w:r>
      <w:r>
        <w:rPr>
          <w:bCs/>
        </w:rPr>
        <w:t>中心</w:t>
      </w:r>
      <w:r>
        <w:rPr>
          <w:rFonts w:hint="default"/>
          <w:bCs/>
        </w:rPr>
        <w:t>落实。</w:t>
      </w:r>
    </w:p>
    <w:p w14:paraId="01589319">
      <w:pPr>
        <w:pStyle w:val="8"/>
        <w:widowControl/>
        <w:spacing w:line="360" w:lineRule="auto"/>
        <w:ind w:firstLine="480" w:firstLineChars="200"/>
        <w:jc w:val="both"/>
        <w:rPr>
          <w:bCs/>
        </w:rPr>
      </w:pPr>
      <w:r>
        <w:rPr>
          <w:bCs/>
        </w:rPr>
        <w:t>5.投标人须承诺中标后取得本项目所在地的《食品经营许可证》，项目实施过程中严格遵守《中华人民共和国食品安全法》《中华人民共和国食品安全法实施条例》《食品经营许可和备案管理办法》《关于强化集中用餐单位食堂承包经营食品安全管理工作的通知》,符合食品经营许可的有关管理规定并按规定办理相关手续,如违反相关法规采购人有权废止或拒绝签订合同，由此引发的一切后果由中标人承担(投标时提供承诺函，可参照“投标文件格式”中《承诺函》格式）。</w:t>
      </w:r>
    </w:p>
    <w:p w14:paraId="2C8D3AF9">
      <w:pPr>
        <w:pStyle w:val="8"/>
        <w:widowControl/>
        <w:spacing w:line="360" w:lineRule="auto"/>
        <w:ind w:firstLine="482" w:firstLineChars="200"/>
        <w:jc w:val="both"/>
        <w:rPr>
          <w:b/>
        </w:rPr>
      </w:pPr>
      <w:r>
        <w:rPr>
          <w:b/>
        </w:rPr>
        <w:t>（二）食堂配餐总体方案</w:t>
      </w:r>
    </w:p>
    <w:p w14:paraId="6B294373">
      <w:pPr>
        <w:pStyle w:val="8"/>
        <w:widowControl/>
        <w:spacing w:line="360" w:lineRule="auto"/>
        <w:ind w:firstLine="480" w:firstLineChars="200"/>
        <w:jc w:val="both"/>
        <w:rPr>
          <w:bCs/>
        </w:rPr>
      </w:pPr>
      <w:r>
        <w:rPr>
          <w:bCs/>
        </w:rPr>
        <w:t>1、食堂膳食供应模式</w:t>
      </w:r>
    </w:p>
    <w:p w14:paraId="5367FFE6">
      <w:pPr>
        <w:pStyle w:val="8"/>
        <w:widowControl/>
        <w:spacing w:line="360" w:lineRule="auto"/>
        <w:ind w:firstLine="480" w:firstLineChars="200"/>
        <w:jc w:val="both"/>
        <w:rPr>
          <w:bCs/>
        </w:rPr>
      </w:pPr>
      <w:r>
        <w:rPr>
          <w:bCs/>
        </w:rPr>
        <w:t>从营养学的角度分析，结合季节变化，最后根据采购人的实际情况，制定一套符合采购人具体情况的膳食方案，在保障膳食安全与营养底线的基础上，兼顾供餐的标准化与个性化需求，确保菜品口味与营养价值的有机统一。</w:t>
      </w:r>
    </w:p>
    <w:p w14:paraId="1B9CC366">
      <w:pPr>
        <w:pStyle w:val="8"/>
        <w:widowControl/>
        <w:spacing w:line="360" w:lineRule="auto"/>
        <w:ind w:firstLine="480" w:firstLineChars="200"/>
        <w:jc w:val="both"/>
        <w:rPr>
          <w:bCs/>
        </w:rPr>
      </w:pPr>
      <w:r>
        <w:rPr>
          <w:bCs/>
        </w:rPr>
        <w:t>（1）早餐配置要求：以中式餐点为主，涵盖主食（粉/面/馒头/包子/煎饼）、流食（粥/牛奶/豆浆）、蛋类与杂粮，确保每日早餐品种不低于3-5种，并保证食材新鲜、温热供应。</w:t>
      </w:r>
    </w:p>
    <w:p w14:paraId="149CF41C">
      <w:pPr>
        <w:pStyle w:val="8"/>
        <w:widowControl/>
        <w:spacing w:line="360" w:lineRule="auto"/>
        <w:ind w:firstLine="480" w:firstLineChars="200"/>
        <w:jc w:val="both"/>
        <w:rPr>
          <w:bCs/>
        </w:rPr>
      </w:pPr>
      <w:r>
        <w:rPr>
          <w:bCs/>
        </w:rPr>
        <w:t>（2）午餐、晚餐：以粤菜为主，二荤二素一汤，注意事项：一周内每天变换菜式。</w:t>
      </w:r>
    </w:p>
    <w:p w14:paraId="298D74DC">
      <w:pPr>
        <w:pStyle w:val="8"/>
        <w:widowControl/>
        <w:spacing w:line="360" w:lineRule="auto"/>
        <w:ind w:firstLine="480" w:firstLineChars="200"/>
        <w:jc w:val="both"/>
        <w:rPr>
          <w:bCs/>
        </w:rPr>
      </w:pPr>
      <w:r>
        <w:rPr>
          <w:bCs/>
        </w:rPr>
        <w:t>（3）供餐时间：</w:t>
      </w:r>
      <w:ins w:id="7" w:author="cc" w:date="2026-03-06T09:44:12Z">
        <w:r>
          <w:rPr>
            <w:rFonts w:hint="eastAsia"/>
            <w:bCs/>
            <w:lang w:val="en-US" w:eastAsia="zh-CN"/>
          </w:rPr>
          <w:t>职工</w:t>
        </w:r>
      </w:ins>
      <w:del w:id="8" w:author="cc" w:date="2026-03-06T09:44:24Z">
        <w:r>
          <w:rPr>
            <w:bCs/>
          </w:rPr>
          <w:delText>正</w:delText>
        </w:r>
      </w:del>
      <w:del w:id="9" w:author="cc" w:date="2026-03-06T09:44:23Z">
        <w:r>
          <w:rPr>
            <w:bCs/>
          </w:rPr>
          <w:delText>常</w:delText>
        </w:r>
      </w:del>
      <w:r>
        <w:rPr>
          <w:bCs/>
        </w:rPr>
        <w:t>工作日供餐时间：早餐7:40-8:30，午餐11:40-12:30；</w:t>
      </w:r>
      <w:del w:id="10" w:author="cc" w:date="2026-03-06T10:30:44Z">
        <w:bookmarkStart w:id="0" w:name="_GoBack"/>
        <w:bookmarkEnd w:id="0"/>
        <w:r>
          <w:rPr>
            <w:bCs/>
            <w:strike/>
            <w:rPrChange w:id="11" w:author="cc" w:date="2026-03-06T09:42:45Z">
              <w:rPr>
                <w:bCs/>
              </w:rPr>
            </w:rPrChange>
          </w:rPr>
          <w:delText>周末和法定假日休息（</w:delText>
        </w:r>
      </w:del>
      <w:del w:id="13" w:author="cc" w:date="2026-03-06T10:30:44Z">
        <w:r>
          <w:rPr>
            <w:rFonts w:hint="eastAsia"/>
            <w:bCs/>
            <w:strike/>
            <w:lang w:eastAsia="zh-CN"/>
            <w:rPrChange w:id="14" w:author="cc" w:date="2026-03-06T09:42:45Z">
              <w:rPr>
                <w:rFonts w:hint="eastAsia"/>
                <w:bCs/>
                <w:lang w:eastAsia="zh-CN"/>
              </w:rPr>
            </w:rPrChange>
          </w:rPr>
          <w:delText>康复科</w:delText>
        </w:r>
      </w:del>
      <w:del w:id="16" w:author="cc" w:date="2026-03-06T10:30:44Z">
        <w:r>
          <w:rPr>
            <w:bCs/>
            <w:strike/>
            <w:rPrChange w:id="17" w:author="cc" w:date="2026-03-06T09:42:45Z">
              <w:rPr>
                <w:bCs/>
              </w:rPr>
            </w:rPrChange>
          </w:rPr>
          <w:delText>饭堂除外）</w:delText>
        </w:r>
      </w:del>
      <w:del w:id="19" w:author="cc" w:date="2026-03-06T10:30:44Z">
        <w:r>
          <w:rPr>
            <w:bCs/>
          </w:rPr>
          <w:delText>，</w:delText>
        </w:r>
      </w:del>
      <w:r>
        <w:rPr>
          <w:bCs/>
        </w:rPr>
        <w:t>如有工作任务加班，采购人根据实际情况支付相应加班费。</w:t>
      </w:r>
    </w:p>
    <w:p w14:paraId="0C64B94C">
      <w:pPr>
        <w:pStyle w:val="8"/>
        <w:widowControl/>
        <w:numPr>
          <w:ilvl w:val="255"/>
          <w:numId w:val="0"/>
        </w:numPr>
        <w:spacing w:line="360" w:lineRule="auto"/>
        <w:ind w:firstLine="480" w:firstLineChars="200"/>
        <w:jc w:val="both"/>
        <w:rPr>
          <w:bCs/>
        </w:rPr>
      </w:pPr>
      <w:r>
        <w:rPr>
          <w:bCs/>
        </w:rPr>
        <w:t>（4）服务餐标及人次：职工饭堂：每日早餐</w:t>
      </w:r>
      <w:r>
        <w:rPr>
          <w:rFonts w:hint="eastAsia"/>
          <w:bCs/>
          <w:lang w:eastAsia="zh-CN"/>
        </w:rPr>
        <w:t>约</w:t>
      </w:r>
      <w:r>
        <w:rPr>
          <w:rFonts w:hint="eastAsia"/>
          <w:bCs/>
          <w:lang w:val="en-US" w:eastAsia="zh-CN"/>
        </w:rPr>
        <w:t>150人次</w:t>
      </w:r>
      <w:r>
        <w:rPr>
          <w:rFonts w:hint="eastAsia"/>
          <w:bCs/>
          <w:lang w:eastAsia="zh-CN"/>
        </w:rPr>
        <w:t>、</w:t>
      </w:r>
      <w:r>
        <w:rPr>
          <w:bCs/>
        </w:rPr>
        <w:t>午餐约170人次；特殊情况下提供晚餐。</w:t>
      </w:r>
      <w:r>
        <w:rPr>
          <w:rFonts w:hint="eastAsia"/>
          <w:bCs/>
          <w:lang w:eastAsia="zh-CN"/>
        </w:rPr>
        <w:t>康复科</w:t>
      </w:r>
      <w:r>
        <w:rPr>
          <w:bCs/>
        </w:rPr>
        <w:t>饭堂：每日</w:t>
      </w:r>
      <w:ins w:id="20" w:author="cc" w:date="2026-03-06T09:23:15Z">
        <w:r>
          <w:rPr>
            <w:rFonts w:hint="eastAsia"/>
            <w:bCs/>
            <w:lang w:val="en-US" w:eastAsia="zh-CN"/>
          </w:rPr>
          <w:t>三</w:t>
        </w:r>
      </w:ins>
      <w:ins w:id="21" w:author="cc" w:date="2026-03-06T09:23:16Z">
        <w:r>
          <w:rPr>
            <w:rFonts w:hint="eastAsia"/>
            <w:bCs/>
            <w:lang w:val="en-US" w:eastAsia="zh-CN"/>
          </w:rPr>
          <w:t>餐</w:t>
        </w:r>
      </w:ins>
      <w:r>
        <w:rPr>
          <w:bCs/>
        </w:rPr>
        <w:t>每餐数量约5</w:t>
      </w:r>
      <w:r>
        <w:rPr>
          <w:rFonts w:hint="eastAsia"/>
          <w:bCs/>
          <w:lang w:val="en-US" w:eastAsia="zh-CN"/>
        </w:rPr>
        <w:t>0</w:t>
      </w:r>
      <w:r>
        <w:rPr>
          <w:bCs/>
        </w:rPr>
        <w:t>人。</w:t>
      </w:r>
    </w:p>
    <w:p w14:paraId="536925F8">
      <w:pPr>
        <w:pStyle w:val="8"/>
        <w:widowControl/>
        <w:spacing w:line="360" w:lineRule="auto"/>
        <w:ind w:firstLine="480" w:firstLineChars="200"/>
        <w:jc w:val="both"/>
        <w:rPr>
          <w:bCs/>
        </w:rPr>
      </w:pPr>
      <w:r>
        <w:rPr>
          <w:bCs/>
        </w:rPr>
        <w:t>2、食堂服务监管</w:t>
      </w:r>
    </w:p>
    <w:p w14:paraId="602F0081">
      <w:pPr>
        <w:pStyle w:val="8"/>
        <w:widowControl/>
        <w:spacing w:line="360" w:lineRule="auto"/>
        <w:ind w:firstLine="480" w:firstLineChars="200"/>
        <w:jc w:val="both"/>
        <w:rPr>
          <w:bCs/>
        </w:rPr>
      </w:pPr>
      <w:r>
        <w:rPr>
          <w:bCs/>
        </w:rPr>
        <w:t>每月回访：成交人负责人每月25-28 日回访各院区主要科室人员，对食堂饭菜的外观、口味、质量等进行认真评价，做好相关记录，并对食堂卫生环境、从业人作情况等进行监督，同时征求就餐人员的意见建议，每月调整下月的饭菜花样及口味，提高满意度。</w:t>
      </w:r>
    </w:p>
    <w:p w14:paraId="64EB01B0">
      <w:pPr>
        <w:pStyle w:val="8"/>
        <w:widowControl/>
        <w:spacing w:line="360" w:lineRule="auto"/>
        <w:ind w:firstLine="480" w:firstLineChars="200"/>
        <w:jc w:val="both"/>
        <w:rPr>
          <w:bCs/>
        </w:rPr>
      </w:pPr>
      <w:r>
        <w:rPr>
          <w:bCs/>
        </w:rPr>
        <w:t>规范食堂餐饮服务，严把食材入口关。通过食品定点采购、食品安全检测，把好食品入口关、验收关、储存关和加工关，规范操作流程和方式。</w:t>
      </w:r>
    </w:p>
    <w:p w14:paraId="6525459C">
      <w:pPr>
        <w:pStyle w:val="8"/>
        <w:widowControl/>
        <w:spacing w:line="360" w:lineRule="auto"/>
        <w:ind w:firstLine="480" w:firstLineChars="200"/>
        <w:jc w:val="both"/>
        <w:rPr>
          <w:bCs/>
        </w:rPr>
      </w:pPr>
      <w:r>
        <w:rPr>
          <w:bCs/>
        </w:rPr>
        <w:t>每天做好现场环境卫生、厨具的清洁和消毒，做到窗明几净，给就餐者提供良好的就餐环境。</w:t>
      </w:r>
    </w:p>
    <w:p w14:paraId="79BE88E6">
      <w:pPr>
        <w:pStyle w:val="8"/>
        <w:widowControl/>
        <w:spacing w:line="360" w:lineRule="auto"/>
        <w:ind w:firstLine="480" w:firstLineChars="200"/>
        <w:jc w:val="both"/>
        <w:rPr>
          <w:bCs/>
        </w:rPr>
      </w:pPr>
      <w:r>
        <w:rPr>
          <w:bCs/>
        </w:rPr>
        <w:t>厨余垃圾日产日清，不隔夜，避免滋生蚊虫及老鼠；</w:t>
      </w:r>
    </w:p>
    <w:p w14:paraId="64BA8E51">
      <w:pPr>
        <w:pStyle w:val="8"/>
        <w:widowControl/>
        <w:spacing w:line="360" w:lineRule="auto"/>
        <w:ind w:firstLine="480" w:firstLineChars="200"/>
        <w:jc w:val="both"/>
        <w:rPr>
          <w:bCs/>
        </w:rPr>
      </w:pPr>
      <w:r>
        <w:rPr>
          <w:bCs/>
        </w:rPr>
        <w:t>定期进行四害消杀，设置防蚊蝇防蟑螂设施设备。</w:t>
      </w:r>
    </w:p>
    <w:p w14:paraId="2E9ABB42">
      <w:pPr>
        <w:pStyle w:val="8"/>
        <w:widowControl/>
        <w:spacing w:line="360" w:lineRule="auto"/>
        <w:ind w:firstLine="480" w:firstLineChars="200"/>
        <w:jc w:val="both"/>
        <w:rPr>
          <w:bCs/>
        </w:rPr>
      </w:pPr>
      <w:r>
        <w:rPr>
          <w:bCs/>
        </w:rPr>
        <w:t>定期对从业人员进行健康体检，每月按计划对从业人员进行岗位责任、个人卫生及健康要求、法律法规、食品安全制度、餐用具消毒、消防安全、预防食物中毒等方面进行培训（每次培训需有图片及文字等相关记录，并定期进行书面考核），确保员工舌尖上的安全。</w:t>
      </w:r>
    </w:p>
    <w:p w14:paraId="2A38A48B">
      <w:pPr>
        <w:pStyle w:val="8"/>
        <w:widowControl/>
        <w:spacing w:line="360" w:lineRule="auto"/>
        <w:ind w:firstLine="480" w:firstLineChars="200"/>
        <w:jc w:val="both"/>
        <w:rPr>
          <w:bCs/>
        </w:rPr>
      </w:pPr>
      <w:r>
        <w:rPr>
          <w:bCs/>
        </w:rPr>
        <w:t>向采购人提出一些硬件上的改良建议，定期进行安全检查，排查安全隐患。</w:t>
      </w:r>
    </w:p>
    <w:p w14:paraId="349D1CF8">
      <w:pPr>
        <w:pStyle w:val="8"/>
        <w:widowControl/>
        <w:spacing w:line="360" w:lineRule="auto"/>
        <w:ind w:firstLine="480" w:firstLineChars="200"/>
        <w:jc w:val="both"/>
        <w:rPr>
          <w:bCs/>
        </w:rPr>
      </w:pPr>
      <w:r>
        <w:rPr>
          <w:bCs/>
        </w:rPr>
        <w:t>3、食堂膳食供应的基本原则</w:t>
      </w:r>
    </w:p>
    <w:p w14:paraId="04D80DC6">
      <w:pPr>
        <w:pStyle w:val="8"/>
        <w:widowControl/>
        <w:spacing w:line="360" w:lineRule="auto"/>
        <w:ind w:firstLine="480" w:firstLineChars="200"/>
        <w:jc w:val="both"/>
        <w:rPr>
          <w:b/>
        </w:rPr>
      </w:pPr>
      <w:r>
        <w:rPr>
          <w:bCs/>
        </w:rPr>
        <w:t>应遵循“营养、卫生、科学、合理”的原则，体现平衡膳食，做到一周内各类营养素的合理，以满足需要，确保食物美味可口、营养均衡。</w:t>
      </w:r>
    </w:p>
    <w:p w14:paraId="2ABED010">
      <w:pPr>
        <w:pStyle w:val="8"/>
        <w:widowControl/>
        <w:spacing w:line="360" w:lineRule="auto"/>
        <w:jc w:val="both"/>
        <w:rPr>
          <w:b/>
        </w:rPr>
      </w:pPr>
      <w:r>
        <w:rPr>
          <w:bCs/>
        </w:rPr>
        <w:t>（三）管理质量和服务要求：</w:t>
      </w:r>
    </w:p>
    <w:p w14:paraId="12FB8E91">
      <w:pPr>
        <w:pStyle w:val="8"/>
        <w:widowControl/>
        <w:spacing w:line="360" w:lineRule="auto"/>
        <w:ind w:firstLine="482" w:firstLineChars="200"/>
        <w:jc w:val="both"/>
        <w:rPr>
          <w:bCs/>
        </w:rPr>
      </w:pPr>
      <w:r>
        <w:rPr>
          <w:b/>
        </w:rPr>
        <w:t>1.服务标准：</w:t>
      </w:r>
    </w:p>
    <w:p w14:paraId="04207D8D">
      <w:pPr>
        <w:pStyle w:val="8"/>
        <w:widowControl/>
        <w:spacing w:line="360" w:lineRule="auto"/>
        <w:ind w:firstLine="480" w:firstLineChars="200"/>
        <w:jc w:val="both"/>
        <w:rPr>
          <w:bCs/>
        </w:rPr>
      </w:pPr>
      <w:r>
        <w:rPr>
          <w:bCs/>
        </w:rPr>
        <w:t>（1）总体标准：</w:t>
      </w:r>
    </w:p>
    <w:p w14:paraId="79978274">
      <w:pPr>
        <w:pStyle w:val="8"/>
        <w:widowControl/>
        <w:spacing w:line="360" w:lineRule="auto"/>
        <w:ind w:firstLine="480" w:firstLineChars="200"/>
        <w:jc w:val="both"/>
        <w:rPr>
          <w:bCs/>
        </w:rPr>
      </w:pPr>
      <w:r>
        <w:rPr>
          <w:bCs/>
        </w:rPr>
        <w:t>需按照《中华人民共和国食品安全法》、《中华人民共和国食品安全法实施条例》、《餐饮业食品安全管理制度》、《食品生产许可管理办法》、《餐饮服务食品安全监督管理办法》、《餐饮服务食品安全操作规范》、《餐饮服务食品采购索证索票管理规定》、《食品添加剂管理办法》等相关法律、法规、制度及政策，通过规范的管理流程和严格的内部监察机制来确保食品卫生安全。</w:t>
      </w:r>
    </w:p>
    <w:p w14:paraId="63853FA1">
      <w:pPr>
        <w:pStyle w:val="8"/>
        <w:widowControl/>
        <w:spacing w:line="360" w:lineRule="auto"/>
        <w:ind w:firstLine="480" w:firstLineChars="200"/>
        <w:jc w:val="both"/>
        <w:rPr>
          <w:bCs/>
        </w:rPr>
      </w:pPr>
      <w:r>
        <w:rPr>
          <w:bCs/>
        </w:rPr>
        <w:t>（2）个人卫生</w:t>
      </w:r>
    </w:p>
    <w:p w14:paraId="1493F973">
      <w:pPr>
        <w:pStyle w:val="8"/>
        <w:widowControl/>
        <w:spacing w:line="360" w:lineRule="auto"/>
        <w:ind w:firstLine="480" w:firstLineChars="200"/>
        <w:jc w:val="both"/>
        <w:rPr>
          <w:bCs/>
        </w:rPr>
      </w:pPr>
      <w:r>
        <w:rPr>
          <w:bCs/>
        </w:rPr>
        <w:t>1）按时上下班、坚守岗位；进入厨房需做到工装鞋整洁。</w:t>
      </w:r>
    </w:p>
    <w:p w14:paraId="34C13BAB">
      <w:pPr>
        <w:pStyle w:val="8"/>
        <w:widowControl/>
        <w:spacing w:line="360" w:lineRule="auto"/>
        <w:ind w:firstLine="480" w:firstLineChars="200"/>
        <w:jc w:val="both"/>
        <w:rPr>
          <w:bCs/>
        </w:rPr>
      </w:pPr>
      <w:r>
        <w:rPr>
          <w:bCs/>
        </w:rPr>
        <w:t>2）在工作时间内，当班人员不能随意离开工作地点，更不能迟到早退。</w:t>
      </w:r>
    </w:p>
    <w:p w14:paraId="42D5E15B">
      <w:pPr>
        <w:pStyle w:val="8"/>
        <w:widowControl/>
        <w:spacing w:line="360" w:lineRule="auto"/>
        <w:ind w:firstLine="480" w:firstLineChars="200"/>
        <w:jc w:val="both"/>
        <w:rPr>
          <w:bCs/>
        </w:rPr>
      </w:pPr>
      <w:r>
        <w:rPr>
          <w:bCs/>
        </w:rPr>
        <w:t>3）不准用勺子直接用口尝味，不准在厨房抽烟。</w:t>
      </w:r>
    </w:p>
    <w:p w14:paraId="33E8F470">
      <w:pPr>
        <w:pStyle w:val="8"/>
        <w:widowControl/>
        <w:spacing w:line="360" w:lineRule="auto"/>
        <w:ind w:firstLine="480" w:firstLineChars="200"/>
        <w:jc w:val="both"/>
        <w:rPr>
          <w:bCs/>
        </w:rPr>
      </w:pPr>
      <w:r>
        <w:rPr>
          <w:bCs/>
        </w:rPr>
        <w:t>4）不得在厨房内躺卧，也不许随便悬挂衣服及放置鞋子，或乱放杂物等。</w:t>
      </w:r>
    </w:p>
    <w:p w14:paraId="783F0E2F">
      <w:pPr>
        <w:pStyle w:val="8"/>
        <w:widowControl/>
        <w:spacing w:line="360" w:lineRule="auto"/>
        <w:ind w:firstLine="480" w:firstLineChars="200"/>
        <w:jc w:val="both"/>
        <w:rPr>
          <w:bCs/>
        </w:rPr>
      </w:pPr>
      <w:r>
        <w:rPr>
          <w:bCs/>
        </w:rPr>
        <w:t>5）在厨房工作时，不得在食物或食器的附近咳嗽、吐痰、打喷嚏。</w:t>
      </w:r>
    </w:p>
    <w:p w14:paraId="5F2ECD38">
      <w:pPr>
        <w:pStyle w:val="8"/>
        <w:widowControl/>
        <w:spacing w:line="360" w:lineRule="auto"/>
        <w:ind w:firstLine="480" w:firstLineChars="200"/>
        <w:jc w:val="both"/>
        <w:rPr>
          <w:bCs/>
        </w:rPr>
      </w:pPr>
      <w:r>
        <w:rPr>
          <w:bCs/>
        </w:rPr>
        <w:t>（2）环境卫生</w:t>
      </w:r>
    </w:p>
    <w:p w14:paraId="30C84EC2">
      <w:pPr>
        <w:pStyle w:val="8"/>
        <w:widowControl/>
        <w:spacing w:line="360" w:lineRule="auto"/>
        <w:ind w:firstLine="480" w:firstLineChars="200"/>
        <w:jc w:val="both"/>
        <w:rPr>
          <w:bCs/>
        </w:rPr>
      </w:pPr>
      <w:r>
        <w:rPr>
          <w:bCs/>
        </w:rPr>
        <w:t>1）保持地面无油渍、无水迹、无卫生死角、无杂物。按要求清洁消毒。</w:t>
      </w:r>
    </w:p>
    <w:p w14:paraId="12DD6B5A">
      <w:pPr>
        <w:pStyle w:val="8"/>
        <w:widowControl/>
        <w:spacing w:line="360" w:lineRule="auto"/>
        <w:ind w:firstLine="480" w:firstLineChars="200"/>
        <w:jc w:val="both"/>
        <w:rPr>
          <w:bCs/>
        </w:rPr>
      </w:pPr>
      <w:r>
        <w:rPr>
          <w:bCs/>
        </w:rPr>
        <w:t>2）保持瓷砖清洁光亮，勤擦门窗。</w:t>
      </w:r>
    </w:p>
    <w:p w14:paraId="2376DD95">
      <w:pPr>
        <w:pStyle w:val="8"/>
        <w:widowControl/>
        <w:spacing w:line="360" w:lineRule="auto"/>
        <w:ind w:firstLine="480" w:firstLineChars="200"/>
        <w:jc w:val="both"/>
        <w:rPr>
          <w:bCs/>
        </w:rPr>
      </w:pPr>
      <w:r>
        <w:rPr>
          <w:bCs/>
        </w:rPr>
        <w:t>3）工作结束后调料加盖，工具、用具、工作台面、地面清理干净。</w:t>
      </w:r>
    </w:p>
    <w:p w14:paraId="2744D6E7">
      <w:pPr>
        <w:pStyle w:val="8"/>
        <w:widowControl/>
        <w:spacing w:line="360" w:lineRule="auto"/>
        <w:ind w:firstLine="480" w:firstLineChars="200"/>
        <w:jc w:val="both"/>
        <w:rPr>
          <w:bCs/>
        </w:rPr>
      </w:pPr>
      <w:r>
        <w:rPr>
          <w:bCs/>
        </w:rPr>
        <w:t>4）下班前应将冰箱、炉灶、配菜台、保洁橱等清理干净。</w:t>
      </w:r>
    </w:p>
    <w:p w14:paraId="6D7F639A">
      <w:pPr>
        <w:pStyle w:val="8"/>
        <w:widowControl/>
        <w:spacing w:line="360" w:lineRule="auto"/>
        <w:ind w:firstLine="480" w:firstLineChars="200"/>
        <w:jc w:val="both"/>
        <w:rPr>
          <w:bCs/>
        </w:rPr>
      </w:pPr>
      <w:r>
        <w:rPr>
          <w:bCs/>
        </w:rPr>
        <w:t>5）厨房、冰箱等设备损坏应及时报修。</w:t>
      </w:r>
    </w:p>
    <w:p w14:paraId="2FDE876A">
      <w:pPr>
        <w:pStyle w:val="8"/>
        <w:widowControl/>
        <w:spacing w:line="360" w:lineRule="auto"/>
        <w:ind w:firstLine="480" w:firstLineChars="200"/>
        <w:jc w:val="both"/>
        <w:rPr>
          <w:bCs/>
        </w:rPr>
      </w:pPr>
      <w:r>
        <w:rPr>
          <w:bCs/>
        </w:rPr>
        <w:t>6）地面、天花板、墙壁门窗应坚固美观，所有孔洞缝隙应予填实密封，并保持整洁，以免蟑螂、老鼠隐身躲藏或出入。</w:t>
      </w:r>
    </w:p>
    <w:p w14:paraId="5D56A5CC">
      <w:pPr>
        <w:pStyle w:val="8"/>
        <w:widowControl/>
        <w:spacing w:line="360" w:lineRule="auto"/>
        <w:ind w:firstLine="480" w:firstLineChars="200"/>
        <w:jc w:val="both"/>
        <w:rPr>
          <w:bCs/>
        </w:rPr>
      </w:pPr>
      <w:r>
        <w:rPr>
          <w:bCs/>
        </w:rPr>
        <w:t>7）垃圾桶和馊水桶身需基本保持干净、标识明确并加盖，按时清理。</w:t>
      </w:r>
    </w:p>
    <w:p w14:paraId="432BB581">
      <w:pPr>
        <w:pStyle w:val="8"/>
        <w:widowControl/>
        <w:spacing w:line="360" w:lineRule="auto"/>
        <w:ind w:firstLine="480" w:firstLineChars="200"/>
        <w:jc w:val="both"/>
        <w:rPr>
          <w:bCs/>
        </w:rPr>
      </w:pPr>
      <w:r>
        <w:rPr>
          <w:bCs/>
        </w:rPr>
        <w:t>（3）冰箱卫生</w:t>
      </w:r>
    </w:p>
    <w:p w14:paraId="79E9498F">
      <w:pPr>
        <w:pStyle w:val="8"/>
        <w:widowControl/>
        <w:spacing w:line="360" w:lineRule="auto"/>
        <w:ind w:firstLine="480" w:firstLineChars="200"/>
        <w:jc w:val="both"/>
        <w:rPr>
          <w:bCs/>
        </w:rPr>
      </w:pPr>
      <w:r>
        <w:rPr>
          <w:bCs/>
        </w:rPr>
        <w:t>1）冰箱有专人管理，定期化霜。</w:t>
      </w:r>
    </w:p>
    <w:p w14:paraId="3DDA004E">
      <w:pPr>
        <w:pStyle w:val="8"/>
        <w:widowControl/>
        <w:spacing w:line="360" w:lineRule="auto"/>
        <w:ind w:firstLine="480" w:firstLineChars="200"/>
        <w:jc w:val="both"/>
        <w:rPr>
          <w:bCs/>
        </w:rPr>
      </w:pPr>
      <w:r>
        <w:rPr>
          <w:bCs/>
        </w:rPr>
        <w:t>2）保持冰箱内外清洁，每日擦洗一次。</w:t>
      </w:r>
    </w:p>
    <w:p w14:paraId="681EA3D5">
      <w:pPr>
        <w:pStyle w:val="8"/>
        <w:widowControl/>
        <w:spacing w:line="360" w:lineRule="auto"/>
        <w:ind w:firstLine="480" w:firstLineChars="200"/>
        <w:jc w:val="both"/>
        <w:rPr>
          <w:bCs/>
        </w:rPr>
      </w:pPr>
      <w:r>
        <w:rPr>
          <w:bCs/>
        </w:rPr>
        <w:t>3）每日检查冰箱内食品质量，杜绝生熟混放，严禁叠盘，鱼类、肉类、蔬菜类，相对分开，减少串味，必要时应用保鲜膜。</w:t>
      </w:r>
    </w:p>
    <w:p w14:paraId="093BCE66">
      <w:pPr>
        <w:pStyle w:val="8"/>
        <w:widowControl/>
        <w:spacing w:line="360" w:lineRule="auto"/>
        <w:ind w:firstLine="480" w:firstLineChars="200"/>
        <w:jc w:val="both"/>
        <w:rPr>
          <w:bCs/>
        </w:rPr>
      </w:pPr>
      <w:r>
        <w:rPr>
          <w:bCs/>
        </w:rPr>
        <w:t>（</w:t>
      </w:r>
      <w:r>
        <w:rPr>
          <w:rFonts w:hint="default"/>
          <w:bCs/>
        </w:rPr>
        <w:t>4</w:t>
      </w:r>
      <w:r>
        <w:rPr>
          <w:bCs/>
        </w:rPr>
        <w:t>）</w:t>
      </w:r>
      <w:r>
        <w:rPr>
          <w:rFonts w:hint="default"/>
          <w:bCs/>
        </w:rPr>
        <w:t>食品卫生</w:t>
      </w:r>
    </w:p>
    <w:p w14:paraId="29D281C0">
      <w:pPr>
        <w:pStyle w:val="8"/>
        <w:widowControl/>
        <w:spacing w:line="360" w:lineRule="auto"/>
        <w:ind w:firstLine="480" w:firstLineChars="200"/>
        <w:jc w:val="both"/>
        <w:rPr>
          <w:bCs/>
        </w:rPr>
      </w:pPr>
      <w:r>
        <w:rPr>
          <w:rFonts w:hint="default"/>
          <w:bCs/>
        </w:rPr>
        <w:t>1）认真做好原料的检疫工作，变质、有毒、有害食品不切配、不烧煮。</w:t>
      </w:r>
    </w:p>
    <w:p w14:paraId="1A38634F">
      <w:pPr>
        <w:pStyle w:val="8"/>
        <w:widowControl/>
        <w:spacing w:line="360" w:lineRule="auto"/>
        <w:ind w:firstLine="480" w:firstLineChars="200"/>
        <w:jc w:val="both"/>
        <w:rPr>
          <w:bCs/>
        </w:rPr>
      </w:pPr>
      <w:r>
        <w:rPr>
          <w:rFonts w:hint="default"/>
          <w:bCs/>
        </w:rPr>
        <w:t>2）食物应保持新鲜、清洁、卫生，并于洗清后，分类以塑胶袋包紧，或装在有盖容器内，分别储放冰箱或冷冻室内，鱼肉类取用处理要迅速，以免反复解冻而影响鲜度，要确实做到勿将食物暴露在生活常温太久。</w:t>
      </w:r>
    </w:p>
    <w:p w14:paraId="735650AD">
      <w:pPr>
        <w:pStyle w:val="8"/>
        <w:widowControl/>
        <w:spacing w:line="360" w:lineRule="auto"/>
        <w:ind w:firstLine="480" w:firstLineChars="200"/>
        <w:jc w:val="both"/>
        <w:rPr>
          <w:bCs/>
        </w:rPr>
      </w:pPr>
      <w:r>
        <w:rPr>
          <w:rFonts w:hint="default"/>
          <w:bCs/>
        </w:rPr>
        <w:t>3）凡易腐败饮食物品，应贮藏摄氏零度以下冷藏容器内，熟食与生食分开贮放，防止食物气味在冰箱内扩散及吸收箱内气味，并备置脱臭剂或燃过的木炭放入冰箱，洗净臭味。</w:t>
      </w:r>
    </w:p>
    <w:p w14:paraId="79576B1E">
      <w:pPr>
        <w:pStyle w:val="8"/>
        <w:widowControl/>
        <w:spacing w:line="360" w:lineRule="auto"/>
        <w:ind w:firstLine="480" w:firstLineChars="200"/>
        <w:jc w:val="both"/>
        <w:rPr>
          <w:bCs/>
        </w:rPr>
      </w:pPr>
      <w:r>
        <w:rPr>
          <w:rFonts w:hint="default"/>
          <w:bCs/>
        </w:rPr>
        <w:t>4）食品容器清洁、炊具做到刀具不锈、砧板不霉，加工台面干净，配菜盘与蔬菜盘有明显区别。</w:t>
      </w:r>
    </w:p>
    <w:p w14:paraId="1E67EE18">
      <w:pPr>
        <w:pStyle w:val="8"/>
        <w:widowControl/>
        <w:spacing w:line="360" w:lineRule="auto"/>
        <w:ind w:firstLine="480" w:firstLineChars="200"/>
        <w:jc w:val="both"/>
        <w:rPr>
          <w:bCs/>
        </w:rPr>
      </w:pPr>
      <w:r>
        <w:rPr>
          <w:rFonts w:hint="default"/>
          <w:bCs/>
        </w:rPr>
        <w:t>5）食品充分加热，防止里生外熟，隔顿、隔夜、外购熟食要回烧后再供应。</w:t>
      </w:r>
    </w:p>
    <w:p w14:paraId="5F0B516F">
      <w:pPr>
        <w:pStyle w:val="8"/>
        <w:widowControl/>
        <w:spacing w:line="360" w:lineRule="auto"/>
        <w:ind w:firstLine="480" w:firstLineChars="200"/>
        <w:jc w:val="both"/>
        <w:rPr>
          <w:bCs/>
        </w:rPr>
      </w:pPr>
      <w:r>
        <w:rPr>
          <w:rFonts w:hint="default"/>
          <w:bCs/>
        </w:rPr>
        <w:t>6）按政府有关规定，禁用不可销售的食品。</w:t>
      </w:r>
    </w:p>
    <w:p w14:paraId="182F88A7">
      <w:pPr>
        <w:pStyle w:val="8"/>
        <w:widowControl/>
        <w:spacing w:line="360" w:lineRule="auto"/>
        <w:ind w:firstLine="480" w:firstLineChars="200"/>
        <w:jc w:val="both"/>
        <w:rPr>
          <w:bCs/>
        </w:rPr>
      </w:pPr>
      <w:r>
        <w:rPr>
          <w:rFonts w:hint="default"/>
          <w:bCs/>
        </w:rPr>
        <w:t>7）蔬菜不得有枯叶、霉斑、虫蛀、腐烂、如卫生不合格，要退回粗加工清洗。</w:t>
      </w:r>
    </w:p>
    <w:p w14:paraId="69B23A10">
      <w:pPr>
        <w:pStyle w:val="8"/>
        <w:widowControl/>
        <w:spacing w:line="360" w:lineRule="auto"/>
        <w:ind w:firstLine="480" w:firstLineChars="200"/>
        <w:jc w:val="both"/>
        <w:rPr>
          <w:bCs/>
        </w:rPr>
      </w:pPr>
      <w:r>
        <w:rPr>
          <w:rFonts w:hint="default"/>
          <w:bCs/>
        </w:rPr>
        <w:t>8）干货、炒货、海货、粉丝、调味品、罐头等，要妥善储藏，不得散放，落地。</w:t>
      </w:r>
    </w:p>
    <w:p w14:paraId="08B70C1E">
      <w:pPr>
        <w:pStyle w:val="8"/>
        <w:widowControl/>
        <w:spacing w:line="360" w:lineRule="auto"/>
        <w:ind w:firstLine="480" w:firstLineChars="200"/>
        <w:jc w:val="both"/>
        <w:rPr>
          <w:bCs/>
        </w:rPr>
      </w:pPr>
      <w:r>
        <w:rPr>
          <w:bCs/>
        </w:rPr>
        <w:t>（</w:t>
      </w:r>
      <w:r>
        <w:rPr>
          <w:rFonts w:hint="default"/>
          <w:bCs/>
        </w:rPr>
        <w:t>5</w:t>
      </w:r>
      <w:r>
        <w:rPr>
          <w:bCs/>
        </w:rPr>
        <w:t>）</w:t>
      </w:r>
      <w:r>
        <w:rPr>
          <w:rFonts w:hint="default"/>
          <w:bCs/>
        </w:rPr>
        <w:t>餐具卫生</w:t>
      </w:r>
    </w:p>
    <w:p w14:paraId="2065317E">
      <w:pPr>
        <w:pStyle w:val="8"/>
        <w:widowControl/>
        <w:spacing w:line="360" w:lineRule="auto"/>
        <w:ind w:firstLine="480" w:firstLineChars="200"/>
        <w:jc w:val="both"/>
        <w:rPr>
          <w:bCs/>
        </w:rPr>
      </w:pPr>
      <w:r>
        <w:rPr>
          <w:rFonts w:hint="default"/>
          <w:bCs/>
        </w:rPr>
        <w:t>1）切配器具要生熟分开，加工机械需保持清洁。</w:t>
      </w:r>
    </w:p>
    <w:p w14:paraId="51D50026">
      <w:pPr>
        <w:pStyle w:val="8"/>
        <w:widowControl/>
        <w:spacing w:line="360" w:lineRule="auto"/>
        <w:ind w:firstLine="480" w:firstLineChars="200"/>
        <w:jc w:val="both"/>
        <w:rPr>
          <w:bCs/>
        </w:rPr>
      </w:pPr>
      <w:r>
        <w:rPr>
          <w:rFonts w:hint="default"/>
          <w:bCs/>
        </w:rPr>
        <w:t>2）熟食、蔬菜装盆、餐具不得缺口、破边，需清洁，经消毒后，无水迹、油迹、灰迹、方能装盆出菜。</w:t>
      </w:r>
    </w:p>
    <w:p w14:paraId="23279A48">
      <w:pPr>
        <w:pStyle w:val="8"/>
        <w:widowControl/>
        <w:spacing w:line="360" w:lineRule="auto"/>
        <w:ind w:firstLine="480" w:firstLineChars="200"/>
        <w:jc w:val="both"/>
        <w:rPr>
          <w:bCs/>
        </w:rPr>
      </w:pPr>
      <w:r>
        <w:rPr>
          <w:rFonts w:hint="default"/>
          <w:bCs/>
        </w:rPr>
        <w:t>3）不锈钢器具需保持本色，不洁餐具退洗碗间重洗。洗净沥干后按材质相应消毒。</w:t>
      </w:r>
    </w:p>
    <w:p w14:paraId="76473C50">
      <w:pPr>
        <w:pStyle w:val="8"/>
        <w:widowControl/>
        <w:spacing w:line="360" w:lineRule="auto"/>
        <w:ind w:firstLine="480" w:firstLineChars="200"/>
        <w:jc w:val="both"/>
        <w:rPr>
          <w:bCs/>
        </w:rPr>
      </w:pPr>
      <w:r>
        <w:rPr>
          <w:bCs/>
        </w:rPr>
        <w:t>（</w:t>
      </w:r>
      <w:r>
        <w:rPr>
          <w:rFonts w:hint="default"/>
          <w:bCs/>
        </w:rPr>
        <w:t>6</w:t>
      </w:r>
      <w:r>
        <w:rPr>
          <w:bCs/>
        </w:rPr>
        <w:t>）</w:t>
      </w:r>
      <w:r>
        <w:rPr>
          <w:rFonts w:hint="default"/>
          <w:bCs/>
        </w:rPr>
        <w:t>切配卫生</w:t>
      </w:r>
    </w:p>
    <w:p w14:paraId="73974047">
      <w:pPr>
        <w:pStyle w:val="8"/>
        <w:widowControl/>
        <w:spacing w:line="360" w:lineRule="auto"/>
        <w:ind w:firstLine="480" w:firstLineChars="200"/>
        <w:jc w:val="both"/>
        <w:rPr>
          <w:bCs/>
        </w:rPr>
      </w:pPr>
      <w:r>
        <w:rPr>
          <w:rFonts w:hint="default"/>
          <w:bCs/>
        </w:rPr>
        <w:t>1）切配上下需保持清洁、卫生、整洁。</w:t>
      </w:r>
    </w:p>
    <w:p w14:paraId="31378171">
      <w:pPr>
        <w:pStyle w:val="8"/>
        <w:widowControl/>
        <w:spacing w:line="360" w:lineRule="auto"/>
        <w:ind w:firstLine="480" w:firstLineChars="200"/>
        <w:jc w:val="both"/>
        <w:rPr>
          <w:bCs/>
        </w:rPr>
      </w:pPr>
      <w:r>
        <w:rPr>
          <w:rFonts w:hint="default"/>
          <w:bCs/>
        </w:rPr>
        <w:t>2）砧板清洁卫生，用后竖放固定位置，每周清洗，定期消毒。</w:t>
      </w:r>
    </w:p>
    <w:p w14:paraId="023E7F99">
      <w:pPr>
        <w:pStyle w:val="8"/>
        <w:widowControl/>
        <w:spacing w:line="360" w:lineRule="auto"/>
        <w:ind w:firstLine="480" w:firstLineChars="200"/>
        <w:jc w:val="both"/>
        <w:rPr>
          <w:bCs/>
        </w:rPr>
      </w:pPr>
      <w:r>
        <w:rPr>
          <w:rFonts w:hint="default"/>
          <w:bCs/>
        </w:rPr>
        <w:t>3）不锈钢水斗内外需保持清洁，光亮。</w:t>
      </w:r>
    </w:p>
    <w:p w14:paraId="1A7D63BA">
      <w:pPr>
        <w:pStyle w:val="8"/>
        <w:widowControl/>
        <w:spacing w:line="360" w:lineRule="auto"/>
        <w:ind w:firstLine="480" w:firstLineChars="200"/>
        <w:jc w:val="both"/>
        <w:rPr>
          <w:bCs/>
        </w:rPr>
      </w:pPr>
      <w:r>
        <w:rPr>
          <w:rFonts w:hint="default"/>
          <w:bCs/>
        </w:rPr>
        <w:t>4）遇有下水道不通或溢水要及时报修。</w:t>
      </w:r>
    </w:p>
    <w:p w14:paraId="48557594">
      <w:pPr>
        <w:pStyle w:val="8"/>
        <w:widowControl/>
        <w:spacing w:line="360" w:lineRule="auto"/>
        <w:ind w:firstLine="480" w:firstLineChars="200"/>
        <w:jc w:val="both"/>
        <w:rPr>
          <w:bCs/>
        </w:rPr>
      </w:pPr>
      <w:r>
        <w:rPr>
          <w:bCs/>
        </w:rPr>
        <w:t>（</w:t>
      </w:r>
      <w:r>
        <w:rPr>
          <w:rFonts w:hint="default"/>
          <w:bCs/>
        </w:rPr>
        <w:t>7</w:t>
      </w:r>
      <w:r>
        <w:rPr>
          <w:bCs/>
        </w:rPr>
        <w:t>）</w:t>
      </w:r>
      <w:r>
        <w:rPr>
          <w:rFonts w:hint="default"/>
          <w:bCs/>
        </w:rPr>
        <w:t>炉灶卫生</w:t>
      </w:r>
    </w:p>
    <w:p w14:paraId="1FCF9609">
      <w:pPr>
        <w:pStyle w:val="8"/>
        <w:widowControl/>
        <w:spacing w:line="360" w:lineRule="auto"/>
        <w:ind w:firstLine="480" w:firstLineChars="200"/>
        <w:jc w:val="both"/>
        <w:rPr>
          <w:bCs/>
        </w:rPr>
      </w:pPr>
      <w:r>
        <w:rPr>
          <w:rFonts w:hint="default"/>
          <w:bCs/>
        </w:rPr>
        <w:t>1）灶台保持不锈钢本色，不得有油垢，当次操作结束后清洗干净。</w:t>
      </w:r>
    </w:p>
    <w:p w14:paraId="37B69EF4">
      <w:pPr>
        <w:pStyle w:val="8"/>
        <w:widowControl/>
        <w:spacing w:line="360" w:lineRule="auto"/>
        <w:ind w:firstLine="480" w:firstLineChars="200"/>
        <w:jc w:val="both"/>
        <w:rPr>
          <w:bCs/>
        </w:rPr>
      </w:pPr>
      <w:r>
        <w:rPr>
          <w:rFonts w:hint="default"/>
          <w:bCs/>
        </w:rPr>
        <w:t>2）锅具需清洁，排放整齐。</w:t>
      </w:r>
    </w:p>
    <w:p w14:paraId="34A387D6">
      <w:pPr>
        <w:pStyle w:val="8"/>
        <w:widowControl/>
        <w:spacing w:line="360" w:lineRule="auto"/>
        <w:ind w:firstLine="480" w:firstLineChars="200"/>
        <w:jc w:val="both"/>
        <w:rPr>
          <w:bCs/>
        </w:rPr>
      </w:pPr>
      <w:r>
        <w:rPr>
          <w:rFonts w:hint="default"/>
          <w:bCs/>
        </w:rPr>
        <w:t>3）炉灶瓷砖清洁、无油腻，炉灶排风要定期清洗，不得有油垢。</w:t>
      </w:r>
    </w:p>
    <w:p w14:paraId="2AAA48D9">
      <w:pPr>
        <w:pStyle w:val="8"/>
        <w:widowControl/>
        <w:spacing w:line="360" w:lineRule="auto"/>
        <w:ind w:firstLine="480" w:firstLineChars="200"/>
        <w:jc w:val="both"/>
        <w:rPr>
          <w:bCs/>
        </w:rPr>
      </w:pPr>
      <w:r>
        <w:rPr>
          <w:bCs/>
        </w:rPr>
        <w:t>4</w:t>
      </w:r>
      <w:r>
        <w:rPr>
          <w:rFonts w:hint="default"/>
          <w:bCs/>
        </w:rPr>
        <w:t>）各种调料罐、缸需清洁卫生并加盖。</w:t>
      </w:r>
    </w:p>
    <w:p w14:paraId="40C2ECA0">
      <w:pPr>
        <w:pStyle w:val="8"/>
        <w:widowControl/>
        <w:spacing w:line="360" w:lineRule="auto"/>
        <w:ind w:firstLine="480" w:firstLineChars="200"/>
        <w:jc w:val="both"/>
        <w:rPr>
          <w:bCs/>
        </w:rPr>
      </w:pPr>
      <w:r>
        <w:rPr>
          <w:bCs/>
        </w:rPr>
        <w:t>（</w:t>
      </w:r>
      <w:r>
        <w:rPr>
          <w:rFonts w:hint="default"/>
          <w:bCs/>
        </w:rPr>
        <w:t>8</w:t>
      </w:r>
      <w:r>
        <w:rPr>
          <w:bCs/>
        </w:rPr>
        <w:t>）</w:t>
      </w:r>
      <w:r>
        <w:rPr>
          <w:rFonts w:hint="default"/>
          <w:bCs/>
        </w:rPr>
        <w:t>守则</w:t>
      </w:r>
    </w:p>
    <w:p w14:paraId="6F8FF384">
      <w:pPr>
        <w:pStyle w:val="8"/>
        <w:widowControl/>
        <w:spacing w:line="360" w:lineRule="auto"/>
        <w:ind w:firstLine="480" w:firstLineChars="200"/>
        <w:jc w:val="both"/>
        <w:rPr>
          <w:bCs/>
        </w:rPr>
      </w:pPr>
      <w:r>
        <w:rPr>
          <w:rFonts w:hint="default"/>
          <w:bCs/>
        </w:rPr>
        <w:t>1）每天上班前需刮胡须；严禁留长指甲；头发长度不得盖住衣领和耳根。</w:t>
      </w:r>
    </w:p>
    <w:p w14:paraId="14B58C80">
      <w:pPr>
        <w:pStyle w:val="8"/>
        <w:widowControl/>
        <w:spacing w:line="360" w:lineRule="auto"/>
        <w:ind w:firstLine="480" w:firstLineChars="200"/>
        <w:jc w:val="both"/>
        <w:rPr>
          <w:bCs/>
        </w:rPr>
      </w:pPr>
      <w:r>
        <w:rPr>
          <w:rFonts w:hint="default"/>
          <w:bCs/>
        </w:rPr>
        <w:t>2）每天上班前需更换工装，工作中保持工装整洁；进入厨房及客人区域之前需检查着装，保证工装整洁干净。</w:t>
      </w:r>
    </w:p>
    <w:p w14:paraId="2F2C5BCC">
      <w:pPr>
        <w:pStyle w:val="8"/>
        <w:widowControl/>
        <w:spacing w:line="360" w:lineRule="auto"/>
        <w:ind w:firstLine="480" w:firstLineChars="200"/>
        <w:jc w:val="both"/>
        <w:rPr>
          <w:bCs/>
        </w:rPr>
      </w:pPr>
      <w:r>
        <w:rPr>
          <w:rFonts w:hint="default"/>
          <w:bCs/>
        </w:rPr>
        <w:t>3）厨房在未着工装的情况下，严禁进入厨房操作间。</w:t>
      </w:r>
    </w:p>
    <w:p w14:paraId="3293919B">
      <w:pPr>
        <w:pStyle w:val="8"/>
        <w:widowControl/>
        <w:spacing w:line="360" w:lineRule="auto"/>
        <w:ind w:firstLine="480" w:firstLineChars="200"/>
        <w:jc w:val="both"/>
        <w:rPr>
          <w:bCs/>
        </w:rPr>
      </w:pPr>
      <w:r>
        <w:rPr>
          <w:rFonts w:hint="default"/>
          <w:bCs/>
        </w:rPr>
        <w:t>4）严禁酒后上班，以及工作中饮酒。</w:t>
      </w:r>
    </w:p>
    <w:p w14:paraId="434AA50F">
      <w:pPr>
        <w:pStyle w:val="8"/>
        <w:widowControl/>
        <w:spacing w:line="360" w:lineRule="auto"/>
        <w:ind w:firstLine="480" w:firstLineChars="200"/>
        <w:jc w:val="both"/>
        <w:rPr>
          <w:bCs/>
        </w:rPr>
      </w:pPr>
      <w:r>
        <w:rPr>
          <w:rFonts w:hint="default"/>
          <w:bCs/>
        </w:rPr>
        <w:t>5）严禁将与工作无关以及危及食品安全的私人物品带入厨房。如香烟，零食和其它自带食品。</w:t>
      </w:r>
    </w:p>
    <w:p w14:paraId="5F08DBC5">
      <w:pPr>
        <w:pStyle w:val="8"/>
        <w:widowControl/>
        <w:spacing w:line="360" w:lineRule="auto"/>
        <w:ind w:firstLine="480" w:firstLineChars="200"/>
        <w:jc w:val="both"/>
        <w:rPr>
          <w:bCs/>
        </w:rPr>
      </w:pPr>
      <w:r>
        <w:rPr>
          <w:rFonts w:hint="default"/>
          <w:bCs/>
        </w:rPr>
        <w:t>6）工作中严禁拨打私人电话，使用手机只能用于工作联系。</w:t>
      </w:r>
    </w:p>
    <w:p w14:paraId="02EC364A">
      <w:pPr>
        <w:pStyle w:val="8"/>
        <w:widowControl/>
        <w:spacing w:line="360" w:lineRule="auto"/>
        <w:ind w:firstLine="480" w:firstLineChars="200"/>
        <w:jc w:val="both"/>
        <w:rPr>
          <w:bCs/>
        </w:rPr>
      </w:pPr>
      <w:r>
        <w:rPr>
          <w:rFonts w:hint="default"/>
          <w:bCs/>
        </w:rPr>
        <w:t>7）严禁在工作中接待私人来访客。</w:t>
      </w:r>
    </w:p>
    <w:p w14:paraId="75FD081E">
      <w:pPr>
        <w:pStyle w:val="8"/>
        <w:widowControl/>
        <w:spacing w:line="360" w:lineRule="auto"/>
        <w:ind w:firstLine="480" w:firstLineChars="200"/>
        <w:jc w:val="both"/>
        <w:rPr>
          <w:bCs/>
        </w:rPr>
      </w:pPr>
      <w:r>
        <w:rPr>
          <w:rFonts w:hint="default"/>
          <w:bCs/>
        </w:rPr>
        <w:t>8）严禁带领外来者参观厨房。</w:t>
      </w:r>
    </w:p>
    <w:p w14:paraId="01F4F998">
      <w:pPr>
        <w:pStyle w:val="8"/>
        <w:widowControl/>
        <w:spacing w:line="360" w:lineRule="auto"/>
        <w:ind w:firstLine="480" w:firstLineChars="200"/>
        <w:jc w:val="both"/>
        <w:rPr>
          <w:bCs/>
        </w:rPr>
      </w:pPr>
      <w:r>
        <w:rPr>
          <w:rFonts w:hint="default"/>
          <w:bCs/>
        </w:rPr>
        <w:t>9）无论发生任何事情，严禁在厨房内奔跑。</w:t>
      </w:r>
    </w:p>
    <w:p w14:paraId="07CDB440">
      <w:pPr>
        <w:pStyle w:val="8"/>
        <w:widowControl/>
        <w:spacing w:line="360" w:lineRule="auto"/>
        <w:ind w:firstLine="480" w:firstLineChars="200"/>
        <w:jc w:val="both"/>
        <w:rPr>
          <w:bCs/>
        </w:rPr>
      </w:pPr>
      <w:r>
        <w:rPr>
          <w:rFonts w:hint="default"/>
          <w:bCs/>
        </w:rPr>
        <w:t>10）厨房地面不准有水、油、果皮以及食品杂物。一旦发现，立即通知管事部门人员清理。</w:t>
      </w:r>
    </w:p>
    <w:p w14:paraId="0CF71549">
      <w:pPr>
        <w:pStyle w:val="8"/>
        <w:widowControl/>
        <w:spacing w:line="360" w:lineRule="auto"/>
        <w:ind w:firstLine="480" w:firstLineChars="200"/>
        <w:jc w:val="both"/>
        <w:rPr>
          <w:bCs/>
        </w:rPr>
      </w:pPr>
      <w:r>
        <w:rPr>
          <w:rFonts w:hint="default"/>
          <w:bCs/>
        </w:rPr>
        <w:t>11）严禁在工作中聊天，打闹以及谈论与工作无关的内容。</w:t>
      </w:r>
    </w:p>
    <w:p w14:paraId="7B137B71">
      <w:pPr>
        <w:pStyle w:val="8"/>
        <w:widowControl/>
        <w:spacing w:line="360" w:lineRule="auto"/>
        <w:ind w:firstLine="480" w:firstLineChars="200"/>
        <w:jc w:val="both"/>
        <w:rPr>
          <w:bCs/>
        </w:rPr>
      </w:pPr>
      <w:r>
        <w:rPr>
          <w:rFonts w:hint="default"/>
          <w:bCs/>
        </w:rPr>
        <w:t>12）工作中如需离开厨房（包括工作餐、去卫生间、工间小憩），需将手中工作交接给同事，而且确保没有疏漏方可离开。如无故离岗，且无工作交接，无论是否影响工作，都将按擅自离岗处理。</w:t>
      </w:r>
    </w:p>
    <w:p w14:paraId="3BA5A8BB">
      <w:pPr>
        <w:pStyle w:val="8"/>
        <w:widowControl/>
        <w:spacing w:line="360" w:lineRule="auto"/>
        <w:ind w:firstLine="480" w:firstLineChars="200"/>
        <w:jc w:val="both"/>
        <w:rPr>
          <w:bCs/>
        </w:rPr>
      </w:pPr>
      <w:r>
        <w:rPr>
          <w:rFonts w:hint="default"/>
          <w:bCs/>
        </w:rPr>
        <w:t>13）严禁坐在工作台以及工作间任何设施上面。</w:t>
      </w:r>
    </w:p>
    <w:p w14:paraId="4262927C">
      <w:pPr>
        <w:pStyle w:val="8"/>
        <w:widowControl/>
        <w:spacing w:line="360" w:lineRule="auto"/>
        <w:ind w:firstLine="480" w:firstLineChars="200"/>
        <w:jc w:val="both"/>
        <w:rPr>
          <w:bCs/>
        </w:rPr>
      </w:pPr>
      <w:r>
        <w:rPr>
          <w:rFonts w:hint="default"/>
          <w:bCs/>
        </w:rPr>
        <w:t>14）严禁穿工装离开医院，除</w:t>
      </w:r>
      <w:r>
        <w:rPr>
          <w:bCs/>
        </w:rPr>
        <w:t>中心要求</w:t>
      </w:r>
      <w:r>
        <w:rPr>
          <w:rFonts w:hint="default"/>
          <w:bCs/>
        </w:rPr>
        <w:t>外出活动或其他因公外出需穿工装。</w:t>
      </w:r>
    </w:p>
    <w:p w14:paraId="2F7BC058">
      <w:pPr>
        <w:pStyle w:val="8"/>
        <w:widowControl/>
        <w:spacing w:line="360" w:lineRule="auto"/>
        <w:ind w:firstLine="480" w:firstLineChars="200"/>
        <w:jc w:val="both"/>
        <w:rPr>
          <w:bCs/>
        </w:rPr>
      </w:pPr>
      <w:r>
        <w:rPr>
          <w:rFonts w:hint="default"/>
          <w:bCs/>
        </w:rPr>
        <w:t>15）严禁开小灶。如需品尝菜品，须经上级主管同意，且有三名同事在场情况下，方可品尝，并且对品尝结果与同事分享。</w:t>
      </w:r>
    </w:p>
    <w:p w14:paraId="70CBB6DF">
      <w:pPr>
        <w:pStyle w:val="8"/>
        <w:widowControl/>
        <w:spacing w:line="360" w:lineRule="auto"/>
        <w:ind w:firstLine="480" w:firstLineChars="200"/>
        <w:jc w:val="both"/>
        <w:rPr>
          <w:bCs/>
        </w:rPr>
      </w:pPr>
      <w:r>
        <w:rPr>
          <w:rFonts w:hint="default"/>
          <w:bCs/>
        </w:rPr>
        <w:t>16）原则上厨师需由相关培训证件方可上岗。</w:t>
      </w:r>
    </w:p>
    <w:p w14:paraId="48AC81CC">
      <w:pPr>
        <w:pStyle w:val="8"/>
        <w:widowControl/>
        <w:spacing w:line="360" w:lineRule="auto"/>
        <w:ind w:firstLine="480" w:firstLineChars="200"/>
        <w:jc w:val="both"/>
        <w:rPr>
          <w:bCs/>
        </w:rPr>
      </w:pPr>
      <w:r>
        <w:rPr>
          <w:bCs/>
        </w:rPr>
        <w:t>（</w:t>
      </w:r>
      <w:r>
        <w:rPr>
          <w:rFonts w:hint="default"/>
          <w:bCs/>
        </w:rPr>
        <w:t>9</w:t>
      </w:r>
      <w:r>
        <w:rPr>
          <w:bCs/>
        </w:rPr>
        <w:t>）</w:t>
      </w:r>
      <w:r>
        <w:rPr>
          <w:rFonts w:hint="default"/>
          <w:bCs/>
        </w:rPr>
        <w:t>厨房菜品质量</w:t>
      </w:r>
    </w:p>
    <w:p w14:paraId="6F6F0AF2">
      <w:pPr>
        <w:pStyle w:val="8"/>
        <w:widowControl/>
        <w:spacing w:line="360" w:lineRule="auto"/>
        <w:ind w:firstLine="480" w:firstLineChars="200"/>
        <w:jc w:val="both"/>
        <w:rPr>
          <w:bCs/>
        </w:rPr>
      </w:pPr>
      <w:r>
        <w:rPr>
          <w:rFonts w:hint="default"/>
          <w:bCs/>
        </w:rPr>
        <w:t>1）菜品色彩追求自然，色泽追求靓丽。</w:t>
      </w:r>
    </w:p>
    <w:p w14:paraId="5839C9DF">
      <w:pPr>
        <w:pStyle w:val="8"/>
        <w:widowControl/>
        <w:spacing w:line="360" w:lineRule="auto"/>
        <w:ind w:firstLine="480" w:firstLineChars="200"/>
        <w:jc w:val="both"/>
        <w:rPr>
          <w:bCs/>
        </w:rPr>
      </w:pPr>
      <w:r>
        <w:rPr>
          <w:rFonts w:hint="default"/>
          <w:bCs/>
        </w:rPr>
        <w:t>2）菜品香气追求本色生命之香气。</w:t>
      </w:r>
    </w:p>
    <w:p w14:paraId="7BEB9BAE">
      <w:pPr>
        <w:pStyle w:val="8"/>
        <w:widowControl/>
        <w:spacing w:line="360" w:lineRule="auto"/>
        <w:ind w:firstLine="480" w:firstLineChars="200"/>
        <w:jc w:val="both"/>
        <w:rPr>
          <w:bCs/>
        </w:rPr>
      </w:pPr>
      <w:r>
        <w:rPr>
          <w:rFonts w:hint="default"/>
          <w:bCs/>
        </w:rPr>
        <w:t>3）菜品形姿追求符合大众审美观。</w:t>
      </w:r>
    </w:p>
    <w:p w14:paraId="15A64F73">
      <w:pPr>
        <w:pStyle w:val="8"/>
        <w:widowControl/>
        <w:spacing w:line="360" w:lineRule="auto"/>
        <w:ind w:firstLine="480" w:firstLineChars="200"/>
        <w:jc w:val="both"/>
        <w:rPr>
          <w:bCs/>
        </w:rPr>
      </w:pPr>
      <w:r>
        <w:rPr>
          <w:rFonts w:hint="default"/>
          <w:bCs/>
        </w:rPr>
        <w:t>4）菜品质的追求酥脆软，要精细。</w:t>
      </w:r>
    </w:p>
    <w:p w14:paraId="545B2067">
      <w:pPr>
        <w:pStyle w:val="8"/>
        <w:widowControl/>
        <w:spacing w:line="360" w:lineRule="auto"/>
        <w:ind w:firstLine="480" w:firstLineChars="200"/>
        <w:jc w:val="both"/>
        <w:rPr>
          <w:bCs/>
        </w:rPr>
      </w:pPr>
      <w:r>
        <w:rPr>
          <w:rFonts w:hint="default"/>
          <w:bCs/>
        </w:rPr>
        <w:t>7）菜品味道追求调料合理搭配。</w:t>
      </w:r>
    </w:p>
    <w:p w14:paraId="7416F6F3">
      <w:pPr>
        <w:pStyle w:val="8"/>
        <w:widowControl/>
        <w:spacing w:line="360" w:lineRule="auto"/>
        <w:ind w:firstLine="480" w:firstLineChars="200"/>
        <w:jc w:val="both"/>
        <w:rPr>
          <w:bCs/>
        </w:rPr>
      </w:pPr>
      <w:r>
        <w:rPr>
          <w:rFonts w:hint="default"/>
          <w:bCs/>
        </w:rPr>
        <w:t>8）菜品温度追求热菜上桌一定要烫，要持续，冷菜上桌要凉而不冰。</w:t>
      </w:r>
    </w:p>
    <w:p w14:paraId="264FB6BA">
      <w:pPr>
        <w:pStyle w:val="8"/>
        <w:widowControl/>
        <w:spacing w:line="360" w:lineRule="auto"/>
        <w:ind w:firstLine="480" w:firstLineChars="200"/>
        <w:jc w:val="both"/>
        <w:rPr>
          <w:b/>
        </w:rPr>
      </w:pPr>
      <w:r>
        <w:rPr>
          <w:rFonts w:hint="default"/>
          <w:bCs/>
        </w:rPr>
        <w:t>9）菜品营养追求搭配合理。</w:t>
      </w:r>
    </w:p>
    <w:p w14:paraId="6AEC4B1C">
      <w:pPr>
        <w:pStyle w:val="8"/>
        <w:widowControl/>
        <w:spacing w:line="360" w:lineRule="auto"/>
        <w:jc w:val="both"/>
        <w:rPr>
          <w:b/>
        </w:rPr>
      </w:pPr>
      <w:r>
        <w:rPr>
          <w:b/>
        </w:rPr>
        <w:t>（四）人员要求：</w:t>
      </w:r>
    </w:p>
    <w:tbl>
      <w:tblPr>
        <w:tblStyle w:val="11"/>
        <w:tblW w:w="8459"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218"/>
        <w:gridCol w:w="1345"/>
        <w:gridCol w:w="4913"/>
        <w:gridCol w:w="983"/>
      </w:tblGrid>
      <w:tr w14:paraId="19D667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1218" w:type="dxa"/>
            <w:tcBorders>
              <w:top w:val="single" w:color="000000" w:sz="4" w:space="0"/>
              <w:left w:val="single" w:color="000000" w:sz="4" w:space="0"/>
              <w:bottom w:val="single" w:color="000000" w:sz="4" w:space="0"/>
              <w:right w:val="single" w:color="000000" w:sz="4" w:space="0"/>
            </w:tcBorders>
            <w:vAlign w:val="center"/>
          </w:tcPr>
          <w:p w14:paraId="1ECE03C3">
            <w:pPr>
              <w:jc w:val="center"/>
              <w:rPr>
                <w:rFonts w:hint="eastAsia" w:ascii="宋体" w:hAnsi="宋体" w:cs="宋体"/>
                <w:sz w:val="24"/>
              </w:rPr>
            </w:pPr>
            <w:r>
              <w:rPr>
                <w:rFonts w:hint="eastAsia" w:ascii="宋体" w:hAnsi="宋体" w:cs="宋体"/>
                <w:b/>
                <w:color w:val="000000"/>
                <w:sz w:val="24"/>
              </w:rPr>
              <w:t>服务区域</w:t>
            </w:r>
          </w:p>
        </w:tc>
        <w:tc>
          <w:tcPr>
            <w:tcW w:w="1345" w:type="dxa"/>
            <w:tcBorders>
              <w:top w:val="single" w:color="000000" w:sz="4" w:space="0"/>
              <w:left w:val="single" w:color="000000" w:sz="4" w:space="0"/>
              <w:bottom w:val="single" w:color="000000" w:sz="4" w:space="0"/>
              <w:right w:val="single" w:color="000000" w:sz="4" w:space="0"/>
            </w:tcBorders>
            <w:vAlign w:val="center"/>
          </w:tcPr>
          <w:p w14:paraId="6F1B3FC1">
            <w:pPr>
              <w:jc w:val="center"/>
              <w:rPr>
                <w:rFonts w:hint="eastAsia" w:ascii="宋体" w:hAnsi="宋体" w:cs="宋体"/>
                <w:sz w:val="24"/>
              </w:rPr>
            </w:pPr>
            <w:r>
              <w:rPr>
                <w:rFonts w:hint="eastAsia" w:ascii="宋体" w:hAnsi="宋体" w:cs="宋体"/>
                <w:b/>
                <w:color w:val="000000"/>
                <w:sz w:val="24"/>
              </w:rPr>
              <w:t>服务岗位</w:t>
            </w:r>
          </w:p>
        </w:tc>
        <w:tc>
          <w:tcPr>
            <w:tcW w:w="4913" w:type="dxa"/>
            <w:tcBorders>
              <w:top w:val="single" w:color="000000" w:sz="4" w:space="0"/>
              <w:left w:val="single" w:color="000000" w:sz="4" w:space="0"/>
              <w:bottom w:val="single" w:color="000000" w:sz="4" w:space="0"/>
              <w:right w:val="single" w:color="000000" w:sz="4" w:space="0"/>
            </w:tcBorders>
            <w:vAlign w:val="center"/>
          </w:tcPr>
          <w:p w14:paraId="02BCD869">
            <w:pPr>
              <w:jc w:val="center"/>
              <w:rPr>
                <w:rFonts w:hint="eastAsia" w:ascii="宋体" w:hAnsi="宋体" w:cs="宋体"/>
                <w:sz w:val="24"/>
              </w:rPr>
            </w:pPr>
            <w:r>
              <w:rPr>
                <w:rFonts w:hint="eastAsia" w:ascii="宋体" w:hAnsi="宋体" w:cs="宋体"/>
                <w:b/>
                <w:color w:val="000000"/>
                <w:sz w:val="24"/>
              </w:rPr>
              <w:t>岗位服务内容及要求</w:t>
            </w:r>
          </w:p>
        </w:tc>
        <w:tc>
          <w:tcPr>
            <w:tcW w:w="983" w:type="dxa"/>
            <w:tcBorders>
              <w:top w:val="single" w:color="000000" w:sz="4" w:space="0"/>
              <w:left w:val="single" w:color="000000" w:sz="4" w:space="0"/>
              <w:bottom w:val="single" w:color="000000" w:sz="4" w:space="0"/>
              <w:right w:val="single" w:color="000000" w:sz="4" w:space="0"/>
            </w:tcBorders>
            <w:vAlign w:val="center"/>
          </w:tcPr>
          <w:p w14:paraId="5C9CB0D1">
            <w:pPr>
              <w:jc w:val="center"/>
              <w:rPr>
                <w:rFonts w:hint="eastAsia" w:ascii="宋体" w:hAnsi="宋体" w:cs="宋体"/>
                <w:sz w:val="24"/>
              </w:rPr>
            </w:pPr>
            <w:r>
              <w:rPr>
                <w:rFonts w:hint="eastAsia" w:ascii="宋体" w:hAnsi="宋体" w:cs="宋体"/>
                <w:b/>
                <w:color w:val="000000"/>
                <w:sz w:val="24"/>
              </w:rPr>
              <w:t>必需岗位数</w:t>
            </w:r>
          </w:p>
        </w:tc>
      </w:tr>
      <w:tr w14:paraId="3F5FB6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restart"/>
            <w:tcBorders>
              <w:top w:val="nil"/>
              <w:left w:val="single" w:color="000000" w:sz="4" w:space="0"/>
              <w:right w:val="single" w:color="000000" w:sz="4" w:space="0"/>
            </w:tcBorders>
            <w:vAlign w:val="center"/>
          </w:tcPr>
          <w:p w14:paraId="4A3EB88D">
            <w:pPr>
              <w:jc w:val="center"/>
              <w:rPr>
                <w:rFonts w:hint="eastAsia" w:ascii="宋体" w:hAnsi="宋体" w:cs="宋体"/>
                <w:sz w:val="24"/>
              </w:rPr>
            </w:pPr>
            <w:r>
              <w:rPr>
                <w:rFonts w:hint="eastAsia" w:ascii="宋体" w:hAnsi="宋体" w:cs="宋体"/>
                <w:sz w:val="24"/>
              </w:rPr>
              <w:t>麻涌院区</w:t>
            </w:r>
          </w:p>
        </w:tc>
        <w:tc>
          <w:tcPr>
            <w:tcW w:w="1345" w:type="dxa"/>
            <w:tcBorders>
              <w:top w:val="nil"/>
              <w:left w:val="single" w:color="000000" w:sz="4" w:space="0"/>
              <w:bottom w:val="single" w:color="000000" w:sz="4" w:space="0"/>
              <w:right w:val="single" w:color="000000" w:sz="4" w:space="0"/>
            </w:tcBorders>
            <w:vAlign w:val="center"/>
          </w:tcPr>
          <w:p w14:paraId="488787C7">
            <w:pPr>
              <w:jc w:val="center"/>
              <w:rPr>
                <w:rFonts w:hint="eastAsia" w:ascii="宋体" w:hAnsi="宋体" w:cs="宋体"/>
                <w:sz w:val="24"/>
              </w:rPr>
            </w:pPr>
            <w:r>
              <w:rPr>
                <w:rFonts w:hint="eastAsia" w:ascii="宋体" w:hAnsi="宋体" w:cs="宋体"/>
                <w:color w:val="000000"/>
                <w:sz w:val="24"/>
              </w:rPr>
              <w:t>厨师</w:t>
            </w:r>
          </w:p>
        </w:tc>
        <w:tc>
          <w:tcPr>
            <w:tcW w:w="4913" w:type="dxa"/>
            <w:tcBorders>
              <w:top w:val="nil"/>
              <w:left w:val="single" w:color="000000" w:sz="4" w:space="0"/>
              <w:bottom w:val="single" w:color="000000" w:sz="4" w:space="0"/>
              <w:right w:val="single" w:color="000000" w:sz="4" w:space="0"/>
            </w:tcBorders>
            <w:vAlign w:val="center"/>
          </w:tcPr>
          <w:p w14:paraId="516C0793">
            <w:pPr>
              <w:rPr>
                <w:rFonts w:hint="eastAsia" w:ascii="宋体" w:hAnsi="宋体" w:cs="宋体"/>
                <w:sz w:val="24"/>
              </w:rPr>
            </w:pPr>
            <w:r>
              <w:rPr>
                <w:rFonts w:hint="eastAsia" w:ascii="宋体" w:hAnsi="宋体" w:cs="宋体"/>
                <w:color w:val="000000"/>
                <w:sz w:val="24"/>
              </w:rPr>
              <w:t>职工区法定节假日除外伙食保障；</w:t>
            </w:r>
            <w:r>
              <w:rPr>
                <w:rFonts w:hint="eastAsia" w:ascii="宋体" w:hAnsi="宋体" w:cs="宋体"/>
                <w:color w:val="000000"/>
                <w:sz w:val="24"/>
                <w:lang w:eastAsia="zh-CN"/>
              </w:rPr>
              <w:t>康复科</w:t>
            </w:r>
            <w:r>
              <w:rPr>
                <w:rFonts w:hint="eastAsia" w:ascii="宋体" w:hAnsi="宋体" w:cs="宋体"/>
                <w:color w:val="000000"/>
                <w:sz w:val="24"/>
              </w:rPr>
              <w:t>全日伙食保障。具备</w:t>
            </w:r>
            <w:r>
              <w:rPr>
                <w:rFonts w:hint="eastAsia" w:ascii="宋体" w:hAnsi="宋体" w:cs="宋体"/>
                <w:color w:val="000000"/>
                <w:sz w:val="24"/>
                <w:lang w:val="en-US" w:eastAsia="zh-CN"/>
              </w:rPr>
              <w:t>3</w:t>
            </w:r>
            <w:r>
              <w:rPr>
                <w:rFonts w:hint="eastAsia" w:ascii="宋体" w:hAnsi="宋体" w:cs="宋体"/>
                <w:color w:val="000000"/>
                <w:sz w:val="24"/>
              </w:rPr>
              <w:t>年或以上厨师任职经验。</w:t>
            </w:r>
          </w:p>
        </w:tc>
        <w:tc>
          <w:tcPr>
            <w:tcW w:w="983" w:type="dxa"/>
            <w:tcBorders>
              <w:top w:val="nil"/>
              <w:left w:val="single" w:color="000000" w:sz="4" w:space="0"/>
              <w:bottom w:val="single" w:color="000000" w:sz="4" w:space="0"/>
              <w:right w:val="single" w:color="000000" w:sz="4" w:space="0"/>
            </w:tcBorders>
            <w:vAlign w:val="center"/>
          </w:tcPr>
          <w:p w14:paraId="0665A5D3">
            <w:pPr>
              <w:jc w:val="center"/>
              <w:rPr>
                <w:rFonts w:hint="eastAsia" w:ascii="宋体" w:hAnsi="宋体" w:cs="宋体"/>
                <w:sz w:val="24"/>
              </w:rPr>
            </w:pPr>
            <w:r>
              <w:rPr>
                <w:rFonts w:hint="eastAsia" w:ascii="宋体" w:hAnsi="宋体" w:cs="宋体"/>
                <w:sz w:val="24"/>
              </w:rPr>
              <w:t>2</w:t>
            </w:r>
          </w:p>
        </w:tc>
      </w:tr>
      <w:tr w14:paraId="25BA26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continue"/>
            <w:tcBorders>
              <w:top w:val="nil"/>
              <w:left w:val="single" w:color="000000" w:sz="4" w:space="0"/>
              <w:bottom w:val="single" w:color="000000" w:sz="4" w:space="0"/>
              <w:right w:val="single" w:color="000000" w:sz="4" w:space="0"/>
            </w:tcBorders>
            <w:vAlign w:val="center"/>
          </w:tcPr>
          <w:p w14:paraId="101DD3B9">
            <w:pPr>
              <w:jc w:val="center"/>
              <w:rPr>
                <w:rFonts w:hint="eastAsia" w:ascii="宋体" w:hAnsi="宋体" w:cs="宋体"/>
                <w:sz w:val="24"/>
              </w:rPr>
            </w:pPr>
          </w:p>
        </w:tc>
        <w:tc>
          <w:tcPr>
            <w:tcW w:w="1345" w:type="dxa"/>
            <w:tcBorders>
              <w:top w:val="nil"/>
              <w:left w:val="single" w:color="000000" w:sz="4" w:space="0"/>
              <w:bottom w:val="single" w:color="000000" w:sz="4" w:space="0"/>
              <w:right w:val="single" w:color="000000" w:sz="4" w:space="0"/>
            </w:tcBorders>
            <w:vAlign w:val="center"/>
          </w:tcPr>
          <w:p w14:paraId="7C59D2D9">
            <w:pPr>
              <w:jc w:val="center"/>
              <w:rPr>
                <w:rFonts w:hint="eastAsia" w:ascii="宋体" w:hAnsi="宋体" w:cs="宋体"/>
                <w:sz w:val="24"/>
              </w:rPr>
            </w:pPr>
            <w:r>
              <w:rPr>
                <w:rFonts w:hint="eastAsia" w:ascii="宋体" w:hAnsi="宋体" w:cs="宋体"/>
                <w:color w:val="000000"/>
                <w:sz w:val="24"/>
              </w:rPr>
              <w:t>厨工</w:t>
            </w:r>
          </w:p>
        </w:tc>
        <w:tc>
          <w:tcPr>
            <w:tcW w:w="4913" w:type="dxa"/>
            <w:tcBorders>
              <w:top w:val="nil"/>
              <w:left w:val="single" w:color="000000" w:sz="4" w:space="0"/>
              <w:bottom w:val="single" w:color="000000" w:sz="4" w:space="0"/>
              <w:right w:val="single" w:color="000000" w:sz="4" w:space="0"/>
            </w:tcBorders>
            <w:vAlign w:val="center"/>
          </w:tcPr>
          <w:p w14:paraId="3D9757F3">
            <w:pPr>
              <w:rPr>
                <w:rFonts w:hint="eastAsia" w:ascii="宋体" w:hAnsi="宋体" w:cs="宋体"/>
                <w:sz w:val="24"/>
              </w:rPr>
            </w:pPr>
            <w:r>
              <w:rPr>
                <w:rFonts w:hint="eastAsia" w:ascii="宋体" w:hAnsi="宋体" w:cs="宋体"/>
                <w:color w:val="000000"/>
                <w:sz w:val="24"/>
              </w:rPr>
              <w:t>协助厨师保障饭堂伙食及饭堂卫生。</w:t>
            </w:r>
            <w:r>
              <w:rPr>
                <w:rFonts w:hint="eastAsia" w:ascii="宋体" w:hAnsi="宋体" w:cs="宋体"/>
                <w:sz w:val="24"/>
              </w:rPr>
              <w:t>具有</w:t>
            </w:r>
            <w:r>
              <w:rPr>
                <w:rFonts w:hint="eastAsia" w:ascii="宋体" w:hAnsi="宋体" w:cs="宋体"/>
                <w:sz w:val="24"/>
                <w:lang w:val="en-US" w:eastAsia="zh-CN"/>
              </w:rPr>
              <w:t>相关</w:t>
            </w:r>
            <w:r>
              <w:rPr>
                <w:rFonts w:hint="eastAsia" w:ascii="宋体" w:hAnsi="宋体" w:cs="宋体"/>
                <w:sz w:val="24"/>
              </w:rPr>
              <w:t>工作经验。</w:t>
            </w:r>
          </w:p>
        </w:tc>
        <w:tc>
          <w:tcPr>
            <w:tcW w:w="983" w:type="dxa"/>
            <w:tcBorders>
              <w:top w:val="nil"/>
              <w:left w:val="single" w:color="000000" w:sz="4" w:space="0"/>
              <w:bottom w:val="single" w:color="000000" w:sz="4" w:space="0"/>
              <w:right w:val="single" w:color="000000" w:sz="4" w:space="0"/>
            </w:tcBorders>
            <w:vAlign w:val="center"/>
          </w:tcPr>
          <w:p w14:paraId="6657EC71">
            <w:pPr>
              <w:jc w:val="center"/>
              <w:rPr>
                <w:rFonts w:hint="eastAsia" w:ascii="宋体" w:hAnsi="宋体" w:cs="宋体"/>
                <w:sz w:val="24"/>
              </w:rPr>
            </w:pPr>
            <w:r>
              <w:rPr>
                <w:rFonts w:hint="eastAsia" w:ascii="宋体" w:hAnsi="宋体" w:cs="宋体"/>
                <w:color w:val="000000"/>
                <w:sz w:val="24"/>
              </w:rPr>
              <w:t>2</w:t>
            </w:r>
          </w:p>
        </w:tc>
      </w:tr>
      <w:tr w14:paraId="05A324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restart"/>
            <w:tcBorders>
              <w:top w:val="nil"/>
              <w:left w:val="single" w:color="000000" w:sz="4" w:space="0"/>
              <w:bottom w:val="single" w:color="000000" w:sz="4" w:space="0"/>
              <w:right w:val="single" w:color="000000" w:sz="4" w:space="0"/>
            </w:tcBorders>
            <w:vAlign w:val="center"/>
          </w:tcPr>
          <w:p w14:paraId="09232D7B">
            <w:pPr>
              <w:rPr>
                <w:rFonts w:hint="eastAsia" w:ascii="宋体" w:hAnsi="宋体" w:cs="宋体"/>
                <w:sz w:val="24"/>
              </w:rPr>
            </w:pPr>
            <w:r>
              <w:rPr>
                <w:rFonts w:hint="eastAsia" w:ascii="宋体" w:hAnsi="宋体" w:cs="宋体"/>
                <w:color w:val="000000"/>
                <w:sz w:val="24"/>
              </w:rPr>
              <w:t>东城院区</w:t>
            </w:r>
          </w:p>
        </w:tc>
        <w:tc>
          <w:tcPr>
            <w:tcW w:w="1345" w:type="dxa"/>
            <w:tcBorders>
              <w:top w:val="nil"/>
              <w:left w:val="single" w:color="000000" w:sz="4" w:space="0"/>
              <w:bottom w:val="single" w:color="000000" w:sz="4" w:space="0"/>
              <w:right w:val="single" w:color="000000" w:sz="4" w:space="0"/>
            </w:tcBorders>
            <w:vAlign w:val="center"/>
          </w:tcPr>
          <w:p w14:paraId="322C18A8">
            <w:pPr>
              <w:jc w:val="center"/>
              <w:rPr>
                <w:rFonts w:hint="eastAsia" w:ascii="宋体" w:hAnsi="宋体" w:cs="宋体"/>
                <w:sz w:val="24"/>
              </w:rPr>
            </w:pPr>
            <w:r>
              <w:rPr>
                <w:rFonts w:hint="eastAsia" w:ascii="宋体" w:hAnsi="宋体" w:cs="宋体"/>
                <w:color w:val="000000"/>
                <w:sz w:val="24"/>
              </w:rPr>
              <w:t>厨师</w:t>
            </w:r>
          </w:p>
        </w:tc>
        <w:tc>
          <w:tcPr>
            <w:tcW w:w="4913" w:type="dxa"/>
            <w:tcBorders>
              <w:top w:val="nil"/>
              <w:left w:val="single" w:color="000000" w:sz="4" w:space="0"/>
              <w:bottom w:val="single" w:color="000000" w:sz="4" w:space="0"/>
              <w:right w:val="single" w:color="000000" w:sz="4" w:space="0"/>
            </w:tcBorders>
            <w:vAlign w:val="center"/>
          </w:tcPr>
          <w:p w14:paraId="2272AA9F">
            <w:pPr>
              <w:rPr>
                <w:rFonts w:hint="eastAsia" w:ascii="宋体" w:hAnsi="宋体" w:cs="宋体"/>
                <w:sz w:val="24"/>
              </w:rPr>
            </w:pPr>
            <w:r>
              <w:rPr>
                <w:rFonts w:hint="eastAsia" w:ascii="宋体" w:hAnsi="宋体" w:cs="宋体"/>
                <w:color w:val="000000"/>
                <w:sz w:val="24"/>
              </w:rPr>
              <w:t>东城、莞城院区法定节假日除外，保障伙食。具备</w:t>
            </w:r>
            <w:r>
              <w:rPr>
                <w:rFonts w:hint="eastAsia" w:ascii="宋体" w:hAnsi="宋体" w:cs="宋体"/>
                <w:color w:val="000000"/>
                <w:sz w:val="24"/>
                <w:lang w:val="en-US" w:eastAsia="zh-CN"/>
              </w:rPr>
              <w:t>3</w:t>
            </w:r>
            <w:r>
              <w:rPr>
                <w:rFonts w:hint="eastAsia" w:ascii="宋体" w:hAnsi="宋体" w:cs="宋体"/>
                <w:color w:val="000000"/>
                <w:sz w:val="24"/>
              </w:rPr>
              <w:t>年或以上厨师任职经验。</w:t>
            </w:r>
          </w:p>
        </w:tc>
        <w:tc>
          <w:tcPr>
            <w:tcW w:w="983" w:type="dxa"/>
            <w:tcBorders>
              <w:top w:val="nil"/>
              <w:left w:val="single" w:color="000000" w:sz="4" w:space="0"/>
              <w:bottom w:val="single" w:color="000000" w:sz="4" w:space="0"/>
              <w:right w:val="single" w:color="000000" w:sz="4" w:space="0"/>
            </w:tcBorders>
            <w:vAlign w:val="center"/>
          </w:tcPr>
          <w:p w14:paraId="42455828">
            <w:pPr>
              <w:jc w:val="center"/>
              <w:rPr>
                <w:rFonts w:hint="eastAsia" w:ascii="宋体" w:hAnsi="宋体" w:cs="宋体"/>
                <w:sz w:val="24"/>
              </w:rPr>
            </w:pPr>
            <w:r>
              <w:rPr>
                <w:rFonts w:hint="eastAsia" w:ascii="宋体" w:hAnsi="宋体" w:cs="宋体"/>
                <w:color w:val="000000"/>
                <w:sz w:val="24"/>
              </w:rPr>
              <w:t>1</w:t>
            </w:r>
          </w:p>
        </w:tc>
      </w:tr>
      <w:tr w14:paraId="1DA8AE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continue"/>
            <w:tcBorders>
              <w:top w:val="nil"/>
              <w:left w:val="single" w:color="000000" w:sz="4" w:space="0"/>
              <w:bottom w:val="single" w:color="000000" w:sz="4" w:space="0"/>
              <w:right w:val="single" w:color="000000" w:sz="4" w:space="0"/>
            </w:tcBorders>
            <w:vAlign w:val="center"/>
          </w:tcPr>
          <w:p w14:paraId="2272E46E">
            <w:pPr>
              <w:jc w:val="center"/>
              <w:rPr>
                <w:rFonts w:hint="eastAsia" w:ascii="宋体" w:hAnsi="宋体" w:cs="宋体"/>
                <w:sz w:val="24"/>
              </w:rPr>
            </w:pPr>
          </w:p>
        </w:tc>
        <w:tc>
          <w:tcPr>
            <w:tcW w:w="1345" w:type="dxa"/>
            <w:tcBorders>
              <w:top w:val="nil"/>
              <w:left w:val="single" w:color="000000" w:sz="4" w:space="0"/>
              <w:bottom w:val="single" w:color="000000" w:sz="4" w:space="0"/>
              <w:right w:val="single" w:color="000000" w:sz="4" w:space="0"/>
            </w:tcBorders>
            <w:vAlign w:val="center"/>
          </w:tcPr>
          <w:p w14:paraId="6C9BB6FD">
            <w:pPr>
              <w:jc w:val="center"/>
              <w:rPr>
                <w:rFonts w:hint="eastAsia" w:ascii="宋体" w:hAnsi="宋体" w:cs="宋体"/>
                <w:sz w:val="24"/>
              </w:rPr>
            </w:pPr>
            <w:r>
              <w:rPr>
                <w:rFonts w:hint="eastAsia" w:ascii="宋体" w:hAnsi="宋体" w:cs="宋体"/>
                <w:color w:val="000000"/>
                <w:sz w:val="24"/>
              </w:rPr>
              <w:t>厨工</w:t>
            </w:r>
          </w:p>
        </w:tc>
        <w:tc>
          <w:tcPr>
            <w:tcW w:w="4913" w:type="dxa"/>
            <w:tcBorders>
              <w:top w:val="nil"/>
              <w:left w:val="single" w:color="000000" w:sz="4" w:space="0"/>
              <w:bottom w:val="single" w:color="000000" w:sz="4" w:space="0"/>
              <w:right w:val="single" w:color="000000" w:sz="4" w:space="0"/>
            </w:tcBorders>
            <w:vAlign w:val="center"/>
          </w:tcPr>
          <w:p w14:paraId="5F7A6C9D">
            <w:pPr>
              <w:rPr>
                <w:rFonts w:hint="eastAsia" w:ascii="宋体" w:hAnsi="宋体" w:cs="宋体"/>
                <w:sz w:val="24"/>
              </w:rPr>
            </w:pPr>
            <w:r>
              <w:rPr>
                <w:rFonts w:hint="eastAsia" w:ascii="宋体" w:hAnsi="宋体" w:cs="宋体"/>
                <w:color w:val="000000"/>
                <w:sz w:val="24"/>
              </w:rPr>
              <w:t>协助厨师保障饭堂伙食及饭堂卫生，具有</w:t>
            </w:r>
            <w:r>
              <w:rPr>
                <w:rFonts w:hint="eastAsia" w:ascii="宋体" w:hAnsi="宋体" w:cs="宋体"/>
                <w:color w:val="000000"/>
                <w:sz w:val="24"/>
                <w:lang w:val="en-US" w:eastAsia="zh-CN"/>
              </w:rPr>
              <w:t>相关</w:t>
            </w:r>
            <w:r>
              <w:rPr>
                <w:rFonts w:hint="eastAsia" w:ascii="宋体" w:hAnsi="宋体" w:cs="宋体"/>
                <w:color w:val="000000"/>
                <w:sz w:val="24"/>
              </w:rPr>
              <w:t>工作经验，</w:t>
            </w:r>
          </w:p>
        </w:tc>
        <w:tc>
          <w:tcPr>
            <w:tcW w:w="983" w:type="dxa"/>
            <w:tcBorders>
              <w:top w:val="nil"/>
              <w:left w:val="single" w:color="000000" w:sz="4" w:space="0"/>
              <w:bottom w:val="single" w:color="000000" w:sz="4" w:space="0"/>
              <w:right w:val="single" w:color="000000" w:sz="4" w:space="0"/>
            </w:tcBorders>
            <w:vAlign w:val="center"/>
          </w:tcPr>
          <w:p w14:paraId="3A57B524">
            <w:pPr>
              <w:jc w:val="center"/>
              <w:rPr>
                <w:rFonts w:hint="eastAsia" w:ascii="宋体" w:hAnsi="宋体" w:cs="宋体"/>
                <w:sz w:val="24"/>
              </w:rPr>
            </w:pPr>
            <w:r>
              <w:rPr>
                <w:rFonts w:hint="eastAsia" w:ascii="宋体" w:hAnsi="宋体" w:cs="宋体"/>
                <w:color w:val="000000"/>
                <w:sz w:val="24"/>
              </w:rPr>
              <w:t>1</w:t>
            </w:r>
          </w:p>
        </w:tc>
      </w:tr>
      <w:tr w14:paraId="304A89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2563" w:type="dxa"/>
            <w:gridSpan w:val="2"/>
            <w:tcBorders>
              <w:top w:val="single" w:color="auto" w:sz="4" w:space="0"/>
              <w:left w:val="single" w:color="auto" w:sz="4" w:space="0"/>
              <w:bottom w:val="single" w:color="auto" w:sz="4" w:space="0"/>
              <w:right w:val="single" w:color="auto" w:sz="4" w:space="0"/>
            </w:tcBorders>
            <w:vAlign w:val="center"/>
          </w:tcPr>
          <w:p w14:paraId="76F0A74E">
            <w:pPr>
              <w:jc w:val="center"/>
              <w:rPr>
                <w:rFonts w:hint="eastAsia" w:ascii="宋体" w:hAnsi="宋体" w:cs="宋体"/>
                <w:sz w:val="24"/>
              </w:rPr>
            </w:pPr>
            <w:r>
              <w:rPr>
                <w:rFonts w:hint="eastAsia" w:ascii="宋体" w:hAnsi="宋体" w:cs="宋体"/>
                <w:color w:val="000000"/>
                <w:sz w:val="24"/>
              </w:rPr>
              <w:t>泗安院区合计</w:t>
            </w:r>
          </w:p>
        </w:tc>
        <w:tc>
          <w:tcPr>
            <w:tcW w:w="4913" w:type="dxa"/>
            <w:tcBorders>
              <w:top w:val="single" w:color="auto" w:sz="4" w:space="0"/>
              <w:left w:val="single" w:color="auto" w:sz="4" w:space="0"/>
              <w:bottom w:val="single" w:color="auto" w:sz="4" w:space="0"/>
              <w:right w:val="single" w:color="auto" w:sz="4" w:space="0"/>
            </w:tcBorders>
            <w:vAlign w:val="center"/>
          </w:tcPr>
          <w:p w14:paraId="7216996C">
            <w:pPr>
              <w:rPr>
                <w:rFonts w:hint="eastAsia" w:ascii="宋体" w:hAnsi="宋体" w:cs="宋体"/>
                <w:sz w:val="24"/>
              </w:rPr>
            </w:pPr>
          </w:p>
        </w:tc>
        <w:tc>
          <w:tcPr>
            <w:tcW w:w="983" w:type="dxa"/>
            <w:tcBorders>
              <w:top w:val="single" w:color="auto" w:sz="4" w:space="0"/>
              <w:left w:val="single" w:color="auto" w:sz="4" w:space="0"/>
              <w:bottom w:val="single" w:color="auto" w:sz="4" w:space="0"/>
              <w:right w:val="single" w:color="auto" w:sz="4" w:space="0"/>
            </w:tcBorders>
            <w:vAlign w:val="center"/>
          </w:tcPr>
          <w:p w14:paraId="1B9C8A6C">
            <w:pPr>
              <w:jc w:val="center"/>
              <w:rPr>
                <w:rFonts w:hint="eastAsia" w:ascii="宋体" w:hAnsi="宋体" w:cs="宋体"/>
                <w:sz w:val="24"/>
              </w:rPr>
            </w:pPr>
            <w:r>
              <w:rPr>
                <w:rFonts w:hint="eastAsia" w:ascii="宋体" w:hAnsi="宋体" w:cs="宋体"/>
                <w:sz w:val="24"/>
              </w:rPr>
              <w:t>6</w:t>
            </w:r>
          </w:p>
        </w:tc>
      </w:tr>
      <w:tr w14:paraId="255274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restart"/>
            <w:tcBorders>
              <w:top w:val="single" w:color="auto" w:sz="4" w:space="0"/>
              <w:left w:val="single" w:color="auto" w:sz="4" w:space="0"/>
              <w:bottom w:val="single" w:color="auto" w:sz="4" w:space="0"/>
              <w:right w:val="single" w:color="auto" w:sz="4" w:space="0"/>
            </w:tcBorders>
            <w:vAlign w:val="center"/>
          </w:tcPr>
          <w:p w14:paraId="663774A0">
            <w:pPr>
              <w:jc w:val="center"/>
              <w:rPr>
                <w:rFonts w:hint="eastAsia" w:ascii="宋体" w:hAnsi="宋体" w:cs="宋体"/>
                <w:color w:val="000000"/>
                <w:sz w:val="24"/>
              </w:rPr>
            </w:pPr>
            <w:r>
              <w:rPr>
                <w:rFonts w:hint="eastAsia" w:ascii="宋体" w:hAnsi="宋体" w:cs="宋体"/>
                <w:color w:val="000000"/>
                <w:sz w:val="24"/>
              </w:rPr>
              <w:t>天河院区</w:t>
            </w:r>
          </w:p>
        </w:tc>
        <w:tc>
          <w:tcPr>
            <w:tcW w:w="1345" w:type="dxa"/>
            <w:tcBorders>
              <w:top w:val="single" w:color="auto" w:sz="4" w:space="0"/>
              <w:left w:val="single" w:color="auto" w:sz="4" w:space="0"/>
              <w:bottom w:val="single" w:color="auto" w:sz="4" w:space="0"/>
              <w:right w:val="single" w:color="auto" w:sz="4" w:space="0"/>
            </w:tcBorders>
            <w:vAlign w:val="center"/>
          </w:tcPr>
          <w:p w14:paraId="4B4DBE3D">
            <w:pPr>
              <w:jc w:val="center"/>
              <w:rPr>
                <w:rFonts w:hint="eastAsia" w:ascii="宋体" w:hAnsi="宋体" w:cs="宋体"/>
                <w:color w:val="000000"/>
                <w:sz w:val="24"/>
              </w:rPr>
            </w:pPr>
            <w:r>
              <w:rPr>
                <w:rFonts w:hint="eastAsia" w:ascii="宋体" w:hAnsi="宋体" w:cs="宋体"/>
                <w:color w:val="000000"/>
                <w:sz w:val="24"/>
              </w:rPr>
              <w:t>厨师</w:t>
            </w:r>
          </w:p>
        </w:tc>
        <w:tc>
          <w:tcPr>
            <w:tcW w:w="4913" w:type="dxa"/>
            <w:tcBorders>
              <w:top w:val="single" w:color="auto" w:sz="4" w:space="0"/>
              <w:left w:val="single" w:color="auto" w:sz="4" w:space="0"/>
              <w:bottom w:val="single" w:color="auto" w:sz="4" w:space="0"/>
              <w:right w:val="single" w:color="auto" w:sz="4" w:space="0"/>
            </w:tcBorders>
            <w:vAlign w:val="center"/>
          </w:tcPr>
          <w:p w14:paraId="347AFE2A">
            <w:pPr>
              <w:rPr>
                <w:rFonts w:hint="eastAsia" w:ascii="宋体" w:hAnsi="宋体" w:cs="宋体"/>
                <w:sz w:val="24"/>
              </w:rPr>
            </w:pPr>
            <w:r>
              <w:rPr>
                <w:rFonts w:hint="eastAsia" w:ascii="宋体" w:hAnsi="宋体" w:cs="宋体"/>
                <w:color w:val="000000"/>
                <w:sz w:val="24"/>
              </w:rPr>
              <w:t>法定节假日除外伙食保障。具备</w:t>
            </w:r>
            <w:r>
              <w:rPr>
                <w:rFonts w:hint="eastAsia" w:ascii="宋体" w:hAnsi="宋体" w:cs="宋体"/>
                <w:color w:val="000000"/>
                <w:sz w:val="24"/>
                <w:lang w:val="en-US" w:eastAsia="zh-CN"/>
              </w:rPr>
              <w:t>3</w:t>
            </w:r>
            <w:r>
              <w:rPr>
                <w:rFonts w:hint="eastAsia" w:ascii="宋体" w:hAnsi="宋体" w:cs="宋体"/>
                <w:color w:val="000000"/>
                <w:sz w:val="24"/>
              </w:rPr>
              <w:t>年或以上厨师任职经验。</w:t>
            </w:r>
          </w:p>
        </w:tc>
        <w:tc>
          <w:tcPr>
            <w:tcW w:w="983" w:type="dxa"/>
            <w:tcBorders>
              <w:top w:val="single" w:color="auto" w:sz="4" w:space="0"/>
              <w:left w:val="single" w:color="auto" w:sz="4" w:space="0"/>
              <w:bottom w:val="single" w:color="auto" w:sz="4" w:space="0"/>
              <w:right w:val="single" w:color="auto" w:sz="4" w:space="0"/>
            </w:tcBorders>
            <w:vAlign w:val="center"/>
          </w:tcPr>
          <w:p w14:paraId="72842F08">
            <w:pPr>
              <w:jc w:val="center"/>
              <w:rPr>
                <w:rFonts w:hint="eastAsia" w:ascii="宋体" w:hAnsi="宋体" w:cs="宋体"/>
                <w:color w:val="000000"/>
                <w:sz w:val="24"/>
              </w:rPr>
            </w:pPr>
            <w:r>
              <w:rPr>
                <w:rFonts w:hint="eastAsia" w:ascii="宋体" w:hAnsi="宋体" w:cs="宋体"/>
                <w:color w:val="000000"/>
                <w:sz w:val="24"/>
              </w:rPr>
              <w:t>1</w:t>
            </w:r>
          </w:p>
        </w:tc>
      </w:tr>
      <w:tr w14:paraId="66A07C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218" w:type="dxa"/>
            <w:vMerge w:val="continue"/>
            <w:tcBorders>
              <w:top w:val="single" w:color="auto" w:sz="4" w:space="0"/>
              <w:left w:val="single" w:color="auto" w:sz="4" w:space="0"/>
              <w:bottom w:val="single" w:color="auto" w:sz="4" w:space="0"/>
              <w:right w:val="single" w:color="auto" w:sz="4" w:space="0"/>
            </w:tcBorders>
            <w:vAlign w:val="center"/>
          </w:tcPr>
          <w:p w14:paraId="35AAC4C6">
            <w:pPr>
              <w:jc w:val="center"/>
              <w:rPr>
                <w:rFonts w:hint="eastAsia" w:ascii="宋体" w:hAnsi="宋体" w:cs="宋体"/>
                <w:color w:val="000000"/>
                <w:sz w:val="24"/>
              </w:rPr>
            </w:pPr>
          </w:p>
        </w:tc>
        <w:tc>
          <w:tcPr>
            <w:tcW w:w="1345" w:type="dxa"/>
            <w:tcBorders>
              <w:top w:val="single" w:color="auto" w:sz="4" w:space="0"/>
              <w:left w:val="single" w:color="auto" w:sz="4" w:space="0"/>
              <w:bottom w:val="single" w:color="auto" w:sz="4" w:space="0"/>
              <w:right w:val="single" w:color="auto" w:sz="4" w:space="0"/>
            </w:tcBorders>
            <w:vAlign w:val="center"/>
          </w:tcPr>
          <w:p w14:paraId="56578EBD">
            <w:pPr>
              <w:jc w:val="center"/>
              <w:rPr>
                <w:rFonts w:hint="eastAsia" w:ascii="宋体" w:hAnsi="宋体" w:cs="宋体"/>
                <w:color w:val="000000"/>
                <w:sz w:val="24"/>
              </w:rPr>
            </w:pPr>
            <w:r>
              <w:rPr>
                <w:rFonts w:hint="eastAsia" w:ascii="宋体" w:hAnsi="宋体" w:cs="宋体"/>
                <w:color w:val="000000"/>
                <w:sz w:val="24"/>
              </w:rPr>
              <w:t>厨工</w:t>
            </w:r>
          </w:p>
        </w:tc>
        <w:tc>
          <w:tcPr>
            <w:tcW w:w="4913" w:type="dxa"/>
            <w:tcBorders>
              <w:top w:val="single" w:color="auto" w:sz="4" w:space="0"/>
              <w:left w:val="single" w:color="auto" w:sz="4" w:space="0"/>
              <w:bottom w:val="single" w:color="auto" w:sz="4" w:space="0"/>
              <w:right w:val="single" w:color="auto" w:sz="4" w:space="0"/>
            </w:tcBorders>
            <w:vAlign w:val="center"/>
          </w:tcPr>
          <w:p w14:paraId="2D133E46">
            <w:pPr>
              <w:rPr>
                <w:rFonts w:hint="eastAsia" w:ascii="宋体" w:hAnsi="宋体" w:cs="宋体"/>
                <w:sz w:val="24"/>
              </w:rPr>
            </w:pPr>
            <w:r>
              <w:rPr>
                <w:rFonts w:hint="eastAsia" w:ascii="宋体" w:hAnsi="宋体" w:cs="宋体"/>
                <w:color w:val="000000"/>
                <w:sz w:val="24"/>
              </w:rPr>
              <w:t>协助厨师保障饭堂伙食及饭堂卫生。具有</w:t>
            </w:r>
            <w:r>
              <w:rPr>
                <w:rFonts w:hint="eastAsia" w:ascii="宋体" w:hAnsi="宋体" w:cs="宋体"/>
                <w:color w:val="000000"/>
                <w:sz w:val="24"/>
                <w:lang w:eastAsia="zh-CN"/>
              </w:rPr>
              <w:t>相关</w:t>
            </w:r>
            <w:r>
              <w:rPr>
                <w:rFonts w:hint="eastAsia" w:ascii="宋体" w:hAnsi="宋体" w:cs="宋体"/>
                <w:color w:val="000000"/>
                <w:sz w:val="24"/>
              </w:rPr>
              <w:t>工作经验。</w:t>
            </w:r>
          </w:p>
        </w:tc>
        <w:tc>
          <w:tcPr>
            <w:tcW w:w="983" w:type="dxa"/>
            <w:tcBorders>
              <w:top w:val="single" w:color="auto" w:sz="4" w:space="0"/>
              <w:left w:val="single" w:color="auto" w:sz="4" w:space="0"/>
              <w:bottom w:val="single" w:color="auto" w:sz="4" w:space="0"/>
              <w:right w:val="single" w:color="auto" w:sz="4" w:space="0"/>
            </w:tcBorders>
            <w:vAlign w:val="center"/>
          </w:tcPr>
          <w:p w14:paraId="066F086A">
            <w:pPr>
              <w:jc w:val="center"/>
              <w:rPr>
                <w:rFonts w:hint="eastAsia" w:ascii="宋体" w:hAnsi="宋体" w:cs="宋体"/>
                <w:color w:val="000000"/>
                <w:sz w:val="24"/>
              </w:rPr>
            </w:pPr>
            <w:r>
              <w:rPr>
                <w:rFonts w:hint="eastAsia" w:ascii="宋体" w:hAnsi="宋体" w:cs="宋体"/>
                <w:color w:val="000000"/>
                <w:sz w:val="24"/>
              </w:rPr>
              <w:t>1</w:t>
            </w:r>
          </w:p>
        </w:tc>
      </w:tr>
      <w:tr w14:paraId="37135A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563" w:type="dxa"/>
            <w:gridSpan w:val="2"/>
            <w:tcBorders>
              <w:top w:val="single" w:color="auto" w:sz="4" w:space="0"/>
              <w:left w:val="single" w:color="000000" w:sz="4" w:space="0"/>
              <w:bottom w:val="single" w:color="auto" w:sz="4" w:space="0"/>
              <w:right w:val="single" w:color="000000" w:sz="4" w:space="0"/>
            </w:tcBorders>
            <w:vAlign w:val="center"/>
          </w:tcPr>
          <w:p w14:paraId="6ED52090">
            <w:pPr>
              <w:jc w:val="center"/>
              <w:rPr>
                <w:rFonts w:hint="eastAsia" w:ascii="宋体" w:hAnsi="宋体" w:cs="宋体"/>
                <w:color w:val="000000"/>
                <w:sz w:val="24"/>
              </w:rPr>
            </w:pPr>
            <w:r>
              <w:rPr>
                <w:rFonts w:hint="eastAsia" w:ascii="宋体" w:hAnsi="宋体" w:cs="宋体"/>
                <w:color w:val="000000"/>
                <w:sz w:val="24"/>
              </w:rPr>
              <w:t>天河院区合计</w:t>
            </w:r>
          </w:p>
        </w:tc>
        <w:tc>
          <w:tcPr>
            <w:tcW w:w="4913" w:type="dxa"/>
            <w:tcBorders>
              <w:top w:val="single" w:color="auto" w:sz="4" w:space="0"/>
              <w:left w:val="single" w:color="000000" w:sz="4" w:space="0"/>
              <w:bottom w:val="single" w:color="auto" w:sz="4" w:space="0"/>
              <w:right w:val="single" w:color="000000" w:sz="4" w:space="0"/>
            </w:tcBorders>
            <w:vAlign w:val="center"/>
          </w:tcPr>
          <w:p w14:paraId="69201A6A">
            <w:pPr>
              <w:jc w:val="center"/>
              <w:rPr>
                <w:rFonts w:hint="eastAsia" w:ascii="宋体" w:hAnsi="宋体" w:cs="宋体"/>
                <w:sz w:val="24"/>
              </w:rPr>
            </w:pPr>
          </w:p>
        </w:tc>
        <w:tc>
          <w:tcPr>
            <w:tcW w:w="983" w:type="dxa"/>
            <w:tcBorders>
              <w:top w:val="single" w:color="auto" w:sz="4" w:space="0"/>
              <w:left w:val="single" w:color="000000" w:sz="4" w:space="0"/>
              <w:bottom w:val="single" w:color="auto" w:sz="4" w:space="0"/>
              <w:right w:val="single" w:color="000000" w:sz="4" w:space="0"/>
            </w:tcBorders>
            <w:vAlign w:val="center"/>
          </w:tcPr>
          <w:p w14:paraId="4B8A51A6">
            <w:pPr>
              <w:jc w:val="center"/>
              <w:rPr>
                <w:rFonts w:hint="eastAsia" w:ascii="宋体" w:hAnsi="宋体" w:cs="宋体"/>
                <w:color w:val="000000"/>
                <w:sz w:val="24"/>
              </w:rPr>
            </w:pPr>
            <w:r>
              <w:rPr>
                <w:rFonts w:hint="eastAsia" w:ascii="宋体" w:hAnsi="宋体" w:cs="宋体"/>
                <w:color w:val="000000"/>
                <w:sz w:val="24"/>
              </w:rPr>
              <w:t>2</w:t>
            </w:r>
          </w:p>
        </w:tc>
      </w:tr>
      <w:tr w14:paraId="1B2BC6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563" w:type="dxa"/>
            <w:gridSpan w:val="2"/>
            <w:tcBorders>
              <w:top w:val="single" w:color="auto" w:sz="4" w:space="0"/>
              <w:left w:val="single" w:color="000000" w:sz="4" w:space="0"/>
              <w:bottom w:val="single" w:color="000000" w:sz="4" w:space="0"/>
              <w:right w:val="single" w:color="000000" w:sz="4" w:space="0"/>
            </w:tcBorders>
            <w:vAlign w:val="center"/>
          </w:tcPr>
          <w:p w14:paraId="79FD244A">
            <w:pPr>
              <w:jc w:val="center"/>
              <w:rPr>
                <w:rFonts w:hint="eastAsia" w:ascii="宋体" w:hAnsi="宋体" w:cs="宋体"/>
                <w:color w:val="000000"/>
                <w:sz w:val="24"/>
              </w:rPr>
            </w:pPr>
            <w:r>
              <w:rPr>
                <w:rFonts w:hint="eastAsia" w:ascii="宋体" w:hAnsi="宋体" w:cs="宋体"/>
                <w:color w:val="000000"/>
                <w:sz w:val="24"/>
              </w:rPr>
              <w:t>总计</w:t>
            </w:r>
          </w:p>
        </w:tc>
        <w:tc>
          <w:tcPr>
            <w:tcW w:w="4913" w:type="dxa"/>
            <w:tcBorders>
              <w:top w:val="single" w:color="auto" w:sz="4" w:space="0"/>
              <w:left w:val="single" w:color="000000" w:sz="4" w:space="0"/>
              <w:bottom w:val="single" w:color="000000" w:sz="4" w:space="0"/>
              <w:right w:val="single" w:color="000000" w:sz="4" w:space="0"/>
            </w:tcBorders>
            <w:vAlign w:val="center"/>
          </w:tcPr>
          <w:p w14:paraId="52E45142">
            <w:pPr>
              <w:jc w:val="center"/>
              <w:rPr>
                <w:rFonts w:hint="eastAsia" w:ascii="宋体" w:hAnsi="宋体" w:cs="宋体"/>
                <w:sz w:val="24"/>
              </w:rPr>
            </w:pPr>
          </w:p>
        </w:tc>
        <w:tc>
          <w:tcPr>
            <w:tcW w:w="983" w:type="dxa"/>
            <w:tcBorders>
              <w:top w:val="single" w:color="auto" w:sz="4" w:space="0"/>
              <w:left w:val="single" w:color="000000" w:sz="4" w:space="0"/>
              <w:bottom w:val="single" w:color="000000" w:sz="4" w:space="0"/>
              <w:right w:val="single" w:color="000000" w:sz="4" w:space="0"/>
            </w:tcBorders>
            <w:vAlign w:val="center"/>
          </w:tcPr>
          <w:p w14:paraId="4835050B">
            <w:pPr>
              <w:jc w:val="center"/>
              <w:rPr>
                <w:rFonts w:hint="eastAsia" w:ascii="宋体" w:hAnsi="宋体" w:cs="宋体"/>
                <w:color w:val="000000"/>
                <w:sz w:val="24"/>
              </w:rPr>
            </w:pPr>
            <w:r>
              <w:rPr>
                <w:rFonts w:hint="eastAsia" w:ascii="宋体" w:hAnsi="宋体" w:cs="宋体"/>
                <w:color w:val="000000"/>
                <w:sz w:val="24"/>
              </w:rPr>
              <w:t>8</w:t>
            </w:r>
          </w:p>
        </w:tc>
      </w:tr>
    </w:tbl>
    <w:p w14:paraId="38A5A395">
      <w:pPr>
        <w:pStyle w:val="8"/>
        <w:widowControl/>
        <w:spacing w:line="360" w:lineRule="auto"/>
        <w:jc w:val="both"/>
        <w:rPr>
          <w:b/>
        </w:rPr>
      </w:pPr>
    </w:p>
    <w:p w14:paraId="000A8266">
      <w:pPr>
        <w:pStyle w:val="8"/>
        <w:widowControl/>
        <w:spacing w:line="360" w:lineRule="auto"/>
        <w:jc w:val="both"/>
        <w:rPr>
          <w:bCs/>
        </w:rPr>
      </w:pPr>
      <w:r>
        <w:rPr>
          <w:b/>
        </w:rPr>
        <w:t>（五）报价方式：</w:t>
      </w:r>
    </w:p>
    <w:p w14:paraId="5F0CFF1A">
      <w:pPr>
        <w:spacing w:line="360" w:lineRule="auto"/>
        <w:ind w:firstLine="480" w:firstLineChars="200"/>
        <w:rPr>
          <w:rFonts w:hint="eastAsia" w:ascii="宋体" w:hAnsi="宋体" w:cs="宋体"/>
          <w:sz w:val="24"/>
        </w:rPr>
      </w:pPr>
      <w:r>
        <w:rPr>
          <w:rFonts w:hint="eastAsia" w:ascii="宋体" w:hAnsi="宋体" w:cs="宋体"/>
          <w:sz w:val="24"/>
        </w:rPr>
        <w:t>（1）投标人针对食堂服务采购标的报出总金额，可标明各岗位单价及数量。</w:t>
      </w:r>
    </w:p>
    <w:p w14:paraId="7B1BB7E4">
      <w:pPr>
        <w:spacing w:line="360" w:lineRule="auto"/>
        <w:ind w:firstLine="480" w:firstLineChars="200"/>
        <w:rPr>
          <w:rFonts w:hint="eastAsia" w:ascii="宋体" w:hAnsi="宋体" w:cs="宋体"/>
          <w:sz w:val="24"/>
        </w:rPr>
      </w:pPr>
      <w:r>
        <w:rPr>
          <w:rFonts w:hint="eastAsia" w:ascii="宋体" w:hAnsi="宋体" w:cs="宋体"/>
          <w:sz w:val="24"/>
        </w:rPr>
        <w:t>（2）食堂服务采购标的总报价是所有需采购人针对食堂服务采购标的支付的金额总数，包括《广东省公共卫生医学中心食堂服务采购需求》要求的全部内容。包含工作人员薪酬、宣传费、检测费、培训场地费、工作人员的社会保险（包括工伤保险）公积金、全额含税发票、雇员费用、合同实施过程中应预见和不可预见费用等。</w:t>
      </w:r>
    </w:p>
    <w:p w14:paraId="0437EEC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AFC32B"/>
    <w:multiLevelType w:val="multilevel"/>
    <w:tmpl w:val="08AFC32B"/>
    <w:lvl w:ilvl="0" w:tentative="0">
      <w:start w:val="1"/>
      <w:numFmt w:val="decimal"/>
      <w:pStyle w:val="2"/>
      <w:suff w:val="space"/>
      <w:lvlText w:val="%1."/>
      <w:lvlJc w:val="left"/>
      <w:pPr>
        <w:tabs>
          <w:tab w:val="left" w:pos="420"/>
        </w:tabs>
        <w:ind w:left="420" w:hanging="420"/>
      </w:pPr>
      <w:rPr>
        <w:rFonts w:hint="default" w:ascii="宋体" w:hAnsi="宋体" w:eastAsia="宋体" w:cs="宋体"/>
        <w:i w:val="0"/>
        <w:iCs w:val="0"/>
        <w:color w:val="auto"/>
        <w:sz w:val="24"/>
        <w:szCs w:val="24"/>
      </w:rPr>
    </w:lvl>
    <w:lvl w:ilvl="1" w:tentative="0">
      <w:start w:val="1"/>
      <w:numFmt w:val="decimal"/>
      <w:suff w:val="space"/>
      <w:lvlText w:val="%1.%2"/>
      <w:lvlJc w:val="left"/>
      <w:pPr>
        <w:tabs>
          <w:tab w:val="left" w:pos="420"/>
        </w:tabs>
        <w:ind w:left="567" w:hanging="567"/>
      </w:pPr>
      <w:rPr>
        <w:rFonts w:hint="default"/>
        <w:sz w:val="28"/>
        <w:szCs w:val="28"/>
      </w:rPr>
    </w:lvl>
    <w:lvl w:ilvl="2" w:tentative="0">
      <w:start w:val="1"/>
      <w:numFmt w:val="decimal"/>
      <w:suff w:val="space"/>
      <w:lvlText w:val="%1.%2.%3"/>
      <w:lvlJc w:val="left"/>
      <w:pPr>
        <w:ind w:left="5953" w:hanging="425"/>
      </w:pPr>
      <w:rPr>
        <w:rFonts w:hint="default"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suff w:val="space"/>
      <w:lvlText w:val="%1.%2.%3.%4"/>
      <w:lvlJc w:val="left"/>
      <w:pPr>
        <w:ind w:left="425" w:hanging="425"/>
      </w:pPr>
      <w:rPr>
        <w:rFonts w:hint="default" w:ascii="Times New Roman" w:hAnsi="Times New Roman"/>
        <w:b w:val="0"/>
        <w:i w:val="0"/>
        <w:sz w:val="28"/>
        <w:szCs w:val="28"/>
      </w:rPr>
    </w:lvl>
    <w:lvl w:ilvl="4" w:tentative="0">
      <w:start w:val="1"/>
      <w:numFmt w:val="decimal"/>
      <w:suff w:val="space"/>
      <w:lvlText w:val="%1.%2.%3.%4.%5"/>
      <w:lvlJc w:val="left"/>
      <w:pPr>
        <w:ind w:left="425" w:hanging="425"/>
      </w:pPr>
      <w:rPr>
        <w:rFonts w:hint="default" w:ascii="Times New Roman" w:hAnsi="Times New Roman"/>
        <w:sz w:val="24"/>
        <w:szCs w:val="24"/>
      </w:rPr>
    </w:lvl>
    <w:lvl w:ilvl="5" w:tentative="0">
      <w:start w:val="1"/>
      <w:numFmt w:val="decimal"/>
      <w:suff w:val="space"/>
      <w:lvlText w:val="%1.%2.%3.%4.%5.%6"/>
      <w:lvlJc w:val="left"/>
      <w:pPr>
        <w:tabs>
          <w:tab w:val="left" w:pos="420"/>
        </w:tabs>
        <w:ind w:left="1152" w:hanging="1152"/>
      </w:pPr>
      <w:rPr>
        <w:rFonts w:hint="default" w:ascii="Times New Roman" w:hAnsi="Times New Roman" w:cs="Times New Roman"/>
        <w:sz w:val="24"/>
        <w:szCs w:val="24"/>
      </w:rPr>
    </w:lvl>
    <w:lvl w:ilvl="6" w:tentative="0">
      <w:start w:val="1"/>
      <w:numFmt w:val="decimal"/>
      <w:suff w:val="space"/>
      <w:lvlText w:val="%1.%2.%3.%4.%5.%6.%7"/>
      <w:lvlJc w:val="left"/>
      <w:pPr>
        <w:tabs>
          <w:tab w:val="left" w:pos="420"/>
        </w:tabs>
        <w:ind w:left="1296" w:hanging="1296"/>
      </w:pPr>
      <w:rPr>
        <w:rFonts w:hint="default" w:ascii="Times New Roman" w:hAnsi="Times New Roman" w:cs="Times New Roman"/>
      </w:rPr>
    </w:lvl>
    <w:lvl w:ilvl="7" w:tentative="0">
      <w:start w:val="1"/>
      <w:numFmt w:val="decimal"/>
      <w:suff w:val="space"/>
      <w:lvlText w:val="%1.%2.%3.%4.%5.%6.%7.%8"/>
      <w:lvlJc w:val="left"/>
      <w:pPr>
        <w:tabs>
          <w:tab w:val="left" w:pos="420"/>
        </w:tabs>
        <w:ind w:left="1440" w:hanging="1440"/>
      </w:pPr>
      <w:rPr>
        <w:rFonts w:hint="default"/>
      </w:rPr>
    </w:lvl>
    <w:lvl w:ilvl="8" w:tentative="0">
      <w:start w:val="1"/>
      <w:numFmt w:val="decimal"/>
      <w:suff w:val="space"/>
      <w:lvlText w:val="%1.%2.%3.%4.%5.%6.%7.%8.%9"/>
      <w:lvlJc w:val="left"/>
      <w:pPr>
        <w:tabs>
          <w:tab w:val="left" w:pos="420"/>
        </w:tabs>
        <w:ind w:left="1584" w:hanging="1584"/>
      </w:pPr>
      <w:rPr>
        <w:rFonts w:hint="default"/>
      </w:rPr>
    </w:lvl>
  </w:abstractNum>
  <w:abstractNum w:abstractNumId="1">
    <w:nsid w:val="2760180E"/>
    <w:multiLevelType w:val="multilevel"/>
    <w:tmpl w:val="2760180E"/>
    <w:lvl w:ilvl="0" w:tentative="0">
      <w:start w:val="1"/>
      <w:numFmt w:val="chineseCounting"/>
      <w:suff w:val="nothing"/>
      <w:lvlText w:val="%1、"/>
      <w:lvlJc w:val="left"/>
      <w:pPr>
        <w:tabs>
          <w:tab w:val="left" w:pos="0"/>
        </w:tabs>
        <w:ind w:left="0" w:firstLine="0"/>
      </w:pPr>
      <w:rPr>
        <w:rFonts w:hint="eastAsia" w:ascii="宋体" w:hAnsi="宋体" w:eastAsia="宋体" w:cs="宋体"/>
        <w:b/>
        <w:sz w:val="28"/>
      </w:rPr>
    </w:lvl>
    <w:lvl w:ilvl="1" w:tentative="0">
      <w:start w:val="1"/>
      <w:numFmt w:val="chineseCounting"/>
      <w:pStyle w:val="3"/>
      <w:suff w:val="nothing"/>
      <w:lvlText w:val="（%2）"/>
      <w:lvlJc w:val="left"/>
      <w:pPr>
        <w:tabs>
          <w:tab w:val="left" w:pos="0"/>
        </w:tabs>
        <w:ind w:left="0" w:firstLine="0"/>
      </w:pPr>
      <w:rPr>
        <w:rFonts w:hint="eastAsia" w:ascii="宋体" w:hAnsi="宋体" w:eastAsia="宋体" w:cs="宋体"/>
        <w:b/>
        <w:sz w:val="24"/>
      </w:rPr>
    </w:lvl>
    <w:lvl w:ilvl="2" w:tentative="0">
      <w:start w:val="1"/>
      <w:numFmt w:val="decimal"/>
      <w:suff w:val="nothing"/>
      <w:lvlText w:val="%3．"/>
      <w:lvlJc w:val="left"/>
      <w:pPr>
        <w:ind w:left="0" w:firstLine="40"/>
      </w:pPr>
      <w:rPr>
        <w:rFonts w:hint="eastAsia" w:ascii="Times New Roman" w:hAnsi="Times New Roman" w:eastAsia="宋体" w:cs="宋体"/>
        <w:b/>
        <w:sz w:val="21"/>
      </w:rPr>
    </w:lvl>
    <w:lvl w:ilvl="3" w:tentative="0">
      <w:start w:val="1"/>
      <w:numFmt w:val="decimal"/>
      <w:suff w:val="nothing"/>
      <w:lvlText w:val="（%4）"/>
      <w:lvlJc w:val="left"/>
      <w:pPr>
        <w:ind w:left="0" w:firstLine="0"/>
      </w:pPr>
      <w:rPr>
        <w:rFonts w:hint="eastAsia" w:ascii="Times New Roman" w:hAnsi="Times New Roman" w:eastAsia="仿宋" w:cs="宋体"/>
        <w:sz w:val="32"/>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2F8A54A1"/>
    <w:multiLevelType w:val="singleLevel"/>
    <w:tmpl w:val="2F8A54A1"/>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c">
    <w15:presenceInfo w15:providerId="WPS Office" w15:userId="7402592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5YWJkMmU4M2VjMjY3NjU3ODc2MzA2OWQwMDZiNzEifQ=="/>
  </w:docVars>
  <w:rsids>
    <w:rsidRoot w:val="31E05282"/>
    <w:rsid w:val="00192562"/>
    <w:rsid w:val="00BD3DA3"/>
    <w:rsid w:val="00CE565D"/>
    <w:rsid w:val="00D23E46"/>
    <w:rsid w:val="00DB1916"/>
    <w:rsid w:val="00F46D15"/>
    <w:rsid w:val="021B6523"/>
    <w:rsid w:val="035241C7"/>
    <w:rsid w:val="03BF296B"/>
    <w:rsid w:val="0436100F"/>
    <w:rsid w:val="062F3136"/>
    <w:rsid w:val="067C0D1D"/>
    <w:rsid w:val="08904A7D"/>
    <w:rsid w:val="091A044E"/>
    <w:rsid w:val="0C040028"/>
    <w:rsid w:val="0C762CD4"/>
    <w:rsid w:val="0E082052"/>
    <w:rsid w:val="0EC44FD6"/>
    <w:rsid w:val="0F0140BD"/>
    <w:rsid w:val="11DB75A2"/>
    <w:rsid w:val="13EB6D63"/>
    <w:rsid w:val="14AE4079"/>
    <w:rsid w:val="168F2010"/>
    <w:rsid w:val="18B9593C"/>
    <w:rsid w:val="19BA4462"/>
    <w:rsid w:val="19D86A87"/>
    <w:rsid w:val="1BA049BE"/>
    <w:rsid w:val="1C171E0C"/>
    <w:rsid w:val="1DF2590A"/>
    <w:rsid w:val="22484D4A"/>
    <w:rsid w:val="236B6EB3"/>
    <w:rsid w:val="251C3A04"/>
    <w:rsid w:val="26303437"/>
    <w:rsid w:val="26DB66BA"/>
    <w:rsid w:val="26EF7DFB"/>
    <w:rsid w:val="2A314286"/>
    <w:rsid w:val="31E05282"/>
    <w:rsid w:val="34161EC7"/>
    <w:rsid w:val="34483BFD"/>
    <w:rsid w:val="35584B93"/>
    <w:rsid w:val="35BE09DD"/>
    <w:rsid w:val="35D30C5A"/>
    <w:rsid w:val="39B77EFC"/>
    <w:rsid w:val="3AA63F0E"/>
    <w:rsid w:val="3AAD5BAB"/>
    <w:rsid w:val="3DD76609"/>
    <w:rsid w:val="3E2E0DB1"/>
    <w:rsid w:val="3ED03C16"/>
    <w:rsid w:val="3F243BAC"/>
    <w:rsid w:val="3F3A29A8"/>
    <w:rsid w:val="3F3E6538"/>
    <w:rsid w:val="3F95733A"/>
    <w:rsid w:val="42F97BDF"/>
    <w:rsid w:val="448C605E"/>
    <w:rsid w:val="457207C3"/>
    <w:rsid w:val="46A42781"/>
    <w:rsid w:val="4B5A0954"/>
    <w:rsid w:val="4C035F3A"/>
    <w:rsid w:val="4D4215B4"/>
    <w:rsid w:val="4F3F4BCC"/>
    <w:rsid w:val="4F935914"/>
    <w:rsid w:val="55251FF5"/>
    <w:rsid w:val="55A4193E"/>
    <w:rsid w:val="5712077B"/>
    <w:rsid w:val="59E42D8A"/>
    <w:rsid w:val="5AD42204"/>
    <w:rsid w:val="5F99254D"/>
    <w:rsid w:val="624F4CCE"/>
    <w:rsid w:val="62F835B8"/>
    <w:rsid w:val="64812858"/>
    <w:rsid w:val="666351EC"/>
    <w:rsid w:val="6A76210F"/>
    <w:rsid w:val="6B3B697A"/>
    <w:rsid w:val="6B9660DC"/>
    <w:rsid w:val="6B9D4CFC"/>
    <w:rsid w:val="6C617CF6"/>
    <w:rsid w:val="6DAF0D17"/>
    <w:rsid w:val="72B80FF4"/>
    <w:rsid w:val="732F625A"/>
    <w:rsid w:val="743B3315"/>
    <w:rsid w:val="74DE4685"/>
    <w:rsid w:val="75993800"/>
    <w:rsid w:val="774E15A1"/>
    <w:rsid w:val="77F35DCF"/>
    <w:rsid w:val="7A8F7F06"/>
    <w:rsid w:val="7D256900"/>
    <w:rsid w:val="7D4E01AD"/>
    <w:rsid w:val="7DC66335"/>
    <w:rsid w:val="7DC93DC9"/>
    <w:rsid w:val="7E7C5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widowControl/>
      <w:numPr>
        <w:ilvl w:val="0"/>
        <w:numId w:val="1"/>
      </w:numPr>
      <w:spacing w:beforeLines="50" w:afterLines="50"/>
      <w:ind w:left="0" w:firstLine="0"/>
      <w:jc w:val="left"/>
      <w:outlineLvl w:val="0"/>
    </w:pPr>
    <w:rPr>
      <w:rFonts w:ascii="Times New Roman" w:hAnsi="Times New Roman" w:eastAsia="黑体"/>
      <w:bCs/>
      <w:kern w:val="44"/>
      <w:sz w:val="44"/>
      <w:szCs w:val="44"/>
      <w:lang w:val="en-GB"/>
    </w:rPr>
  </w:style>
  <w:style w:type="paragraph" w:styleId="3">
    <w:name w:val="heading 2"/>
    <w:basedOn w:val="1"/>
    <w:next w:val="1"/>
    <w:unhideWhenUsed/>
    <w:qFormat/>
    <w:uiPriority w:val="9"/>
    <w:pPr>
      <w:keepNext/>
      <w:keepLines/>
      <w:numPr>
        <w:ilvl w:val="1"/>
        <w:numId w:val="2"/>
      </w:numPr>
      <w:tabs>
        <w:tab w:val="left" w:pos="420"/>
        <w:tab w:val="clear" w:pos="0"/>
      </w:tabs>
      <w:spacing w:line="360" w:lineRule="auto"/>
      <w:outlineLvl w:val="1"/>
    </w:pPr>
    <w:rPr>
      <w:rFonts w:ascii="Arial" w:hAnsi="Arial" w:cs="宋体"/>
      <w:b/>
      <w:sz w:val="2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7"/>
    <w:qFormat/>
    <w:uiPriority w:val="0"/>
    <w:pPr>
      <w:jc w:val="left"/>
    </w:pPr>
    <w:rPr>
      <w:rFonts w:ascii="Times New Roman" w:hAnsi="Times New Roman"/>
      <w:b/>
      <w:color w:val="143AD1"/>
    </w:rPr>
  </w:style>
  <w:style w:type="paragraph" w:styleId="5">
    <w:name w:val="Body Text"/>
    <w:basedOn w:val="1"/>
    <w:next w:val="1"/>
    <w:unhideWhenUsed/>
    <w:qFormat/>
    <w:uiPriority w:val="0"/>
    <w:pPr>
      <w:spacing w:line="360" w:lineRule="auto"/>
    </w:pPr>
    <w:rPr>
      <w:szCs w:val="20"/>
    </w:r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tabs>
        <w:tab w:val="center" w:pos="4153"/>
        <w:tab w:val="right" w:pos="8306"/>
      </w:tabs>
      <w:snapToGrid w:val="0"/>
      <w:jc w:val="center"/>
    </w:pPr>
    <w:rPr>
      <w:sz w:val="18"/>
      <w:szCs w:val="18"/>
    </w:rPr>
  </w:style>
  <w:style w:type="paragraph" w:styleId="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9">
    <w:name w:val="annotation subject"/>
    <w:basedOn w:val="4"/>
    <w:next w:val="4"/>
    <w:link w:val="18"/>
    <w:qFormat/>
    <w:uiPriority w:val="0"/>
    <w:rPr>
      <w:rFonts w:ascii="Calibri" w:hAnsi="Calibri"/>
      <w:bCs/>
      <w:color w:val="auto"/>
    </w:rPr>
  </w:style>
  <w:style w:type="paragraph" w:styleId="10">
    <w:name w:val="Body Text First Indent"/>
    <w:basedOn w:val="5"/>
    <w:unhideWhenUsed/>
    <w:qFormat/>
    <w:uiPriority w:val="0"/>
    <w:pPr>
      <w:spacing w:after="120" w:line="240" w:lineRule="auto"/>
      <w:ind w:firstLine="420" w:firstLineChars="100"/>
    </w:pPr>
    <w:rPr>
      <w:szCs w:val="24"/>
    </w:rPr>
  </w:style>
  <w:style w:type="character" w:styleId="13">
    <w:name w:val="annotation reference"/>
    <w:basedOn w:val="12"/>
    <w:qFormat/>
    <w:uiPriority w:val="0"/>
    <w:rPr>
      <w:sz w:val="21"/>
      <w:szCs w:val="21"/>
    </w:rPr>
  </w:style>
  <w:style w:type="paragraph" w:customStyle="1" w:styleId="14">
    <w:name w:val="Revision"/>
    <w:hidden/>
    <w:unhideWhenUsed/>
    <w:qFormat/>
    <w:uiPriority w:val="99"/>
    <w:rPr>
      <w:rFonts w:ascii="Calibri" w:hAnsi="Calibri" w:eastAsia="宋体" w:cs="Times New Roman"/>
      <w:kern w:val="2"/>
      <w:sz w:val="21"/>
      <w:szCs w:val="24"/>
      <w:lang w:val="en-US" w:eastAsia="zh-CN" w:bidi="ar-SA"/>
    </w:rPr>
  </w:style>
  <w:style w:type="character" w:customStyle="1" w:styleId="15">
    <w:name w:val="页眉 字符"/>
    <w:basedOn w:val="12"/>
    <w:link w:val="7"/>
    <w:qFormat/>
    <w:uiPriority w:val="0"/>
    <w:rPr>
      <w:rFonts w:ascii="Calibri" w:hAnsi="Calibri" w:eastAsia="宋体" w:cs="Times New Roman"/>
      <w:kern w:val="2"/>
      <w:sz w:val="18"/>
      <w:szCs w:val="18"/>
    </w:rPr>
  </w:style>
  <w:style w:type="character" w:customStyle="1" w:styleId="16">
    <w:name w:val="页脚 字符"/>
    <w:basedOn w:val="12"/>
    <w:link w:val="6"/>
    <w:qFormat/>
    <w:uiPriority w:val="0"/>
    <w:rPr>
      <w:rFonts w:ascii="Calibri" w:hAnsi="Calibri" w:eastAsia="宋体" w:cs="Times New Roman"/>
      <w:kern w:val="2"/>
      <w:sz w:val="18"/>
      <w:szCs w:val="18"/>
    </w:rPr>
  </w:style>
  <w:style w:type="character" w:customStyle="1" w:styleId="17">
    <w:name w:val="批注文字 字符"/>
    <w:basedOn w:val="12"/>
    <w:link w:val="4"/>
    <w:qFormat/>
    <w:uiPriority w:val="0"/>
    <w:rPr>
      <w:rFonts w:ascii="Times New Roman" w:hAnsi="Times New Roman" w:eastAsia="宋体" w:cs="Times New Roman"/>
      <w:b/>
      <w:color w:val="143AD1"/>
      <w:kern w:val="2"/>
      <w:sz w:val="21"/>
      <w:szCs w:val="24"/>
    </w:rPr>
  </w:style>
  <w:style w:type="character" w:customStyle="1" w:styleId="18">
    <w:name w:val="批注主题 字符"/>
    <w:basedOn w:val="17"/>
    <w:link w:val="9"/>
    <w:qFormat/>
    <w:uiPriority w:val="0"/>
    <w:rPr>
      <w:rFonts w:ascii="Calibri" w:hAnsi="Calibri" w:eastAsia="宋体" w:cs="Times New Roman"/>
      <w:bCs/>
      <w:color w:val="143AD1"/>
      <w:kern w:val="2"/>
      <w:sz w:val="21"/>
      <w:szCs w:val="24"/>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1750</Words>
  <Characters>1799</Characters>
  <Lines>240</Lines>
  <Paragraphs>255</Paragraphs>
  <TotalTime>34</TotalTime>
  <ScaleCrop>false</ScaleCrop>
  <LinksUpToDate>false</LinksUpToDate>
  <CharactersWithSpaces>1800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2026-03-05T05:07:00Z</dcterms:created>
  <dc:creator>cc</dc:creator>
  <cp:lastModifiedBy>cc</cp:lastModifiedBy>
  <dcterms:modified xsi:type="dcterms:W3CDTF">2026-03-06T02:30:47Z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62BC9AA3AB3A4D11A03BF2D0501EDBBC_13</vt:lpwstr>
  </property>
  <property fmtid="{D5CDD505-2E9C-101B-9397-08002B2CF9AE}" pid="4" name="KSOTemplateDocerSaveRecord">
    <vt:lpwstr>eyJoZGlkIjoiZjMyZTNhNTFmZWNlMTJjN2QzOGMzZTg4NThhYzUwODciLCJ1c2VySWQiOiI3MDc3OTgxMzEifQ==</vt:lpwstr>
  </property>
</Properties>
</file>