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396A62">
      <w:pPr>
        <w:jc w:val="center"/>
        <w:rPr>
          <w:rFonts w:hint="eastAsia" w:ascii="宋体" w:hAnsi="宋体"/>
          <w:b/>
          <w:bCs/>
          <w:sz w:val="22"/>
          <w:szCs w:val="22"/>
        </w:rPr>
      </w:pPr>
    </w:p>
    <w:tbl>
      <w:tblPr>
        <w:tblStyle w:val="4"/>
        <w:tblW w:w="94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
        <w:gridCol w:w="1554"/>
        <w:gridCol w:w="6511"/>
        <w:gridCol w:w="930"/>
      </w:tblGrid>
      <w:tr w14:paraId="3EFB5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453"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0DC6015C">
            <w:pPr>
              <w:jc w:val="center"/>
              <w:rPr>
                <w:rFonts w:hint="default" w:ascii="宋体" w:hAnsi="宋体" w:eastAsia="宋体"/>
                <w:b/>
                <w:bCs/>
                <w:sz w:val="22"/>
                <w:szCs w:val="22"/>
                <w:lang w:val="en-US" w:eastAsia="zh-CN"/>
              </w:rPr>
            </w:pPr>
            <w:r>
              <w:rPr>
                <w:rFonts w:hint="eastAsia" w:ascii="宋体" w:hAnsi="宋体"/>
                <w:b/>
                <w:bCs/>
                <w:sz w:val="22"/>
                <w:szCs w:val="22"/>
                <w:lang w:val="en-US" w:eastAsia="zh-CN"/>
              </w:rPr>
              <w:t>本项目采用综合评分法，其中技术分占50分，商务分30分，价格分20分</w:t>
            </w:r>
          </w:p>
        </w:tc>
      </w:tr>
      <w:tr w14:paraId="57056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453" w:type="dxa"/>
            <w:gridSpan w:val="4"/>
            <w:tcBorders>
              <w:top w:val="single" w:color="auto" w:sz="4" w:space="0"/>
              <w:left w:val="single" w:color="auto" w:sz="4" w:space="0"/>
              <w:bottom w:val="single" w:color="auto" w:sz="4" w:space="0"/>
              <w:right w:val="single" w:color="auto" w:sz="4" w:space="0"/>
            </w:tcBorders>
            <w:shd w:val="clear" w:color="auto" w:fill="D9D9D9"/>
            <w:noWrap w:val="0"/>
            <w:vAlign w:val="center"/>
          </w:tcPr>
          <w:p w14:paraId="4EB906A0">
            <w:pPr>
              <w:jc w:val="center"/>
              <w:rPr>
                <w:rFonts w:hint="default" w:ascii="宋体" w:hAnsi="宋体" w:eastAsia="宋体"/>
                <w:b/>
                <w:bCs/>
                <w:sz w:val="22"/>
                <w:szCs w:val="22"/>
                <w:lang w:val="en-US" w:eastAsia="zh-CN"/>
              </w:rPr>
            </w:pPr>
            <w:r>
              <w:rPr>
                <w:rFonts w:hint="eastAsia" w:ascii="宋体" w:hAnsi="宋体"/>
                <w:b/>
                <w:bCs/>
                <w:sz w:val="22"/>
                <w:szCs w:val="22"/>
                <w:lang w:val="en-US" w:eastAsia="zh-CN"/>
              </w:rPr>
              <w:t>一、技术评分</w:t>
            </w:r>
          </w:p>
        </w:tc>
      </w:tr>
      <w:tr w14:paraId="2277B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458"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4D9D7EF2">
            <w:pPr>
              <w:jc w:val="center"/>
              <w:rPr>
                <w:rFonts w:hint="eastAsia" w:ascii="宋体" w:hAnsi="宋体" w:eastAsia="宋体" w:cs="Calibri"/>
                <w:b/>
                <w:bCs/>
                <w:kern w:val="2"/>
                <w:sz w:val="22"/>
                <w:szCs w:val="22"/>
                <w:lang w:val="en-US" w:eastAsia="zh-CN" w:bidi="ar-SA"/>
              </w:rPr>
            </w:pPr>
            <w:r>
              <w:rPr>
                <w:rFonts w:hint="eastAsia" w:ascii="宋体" w:hAnsi="宋体"/>
                <w:b/>
                <w:bCs/>
                <w:sz w:val="22"/>
                <w:szCs w:val="22"/>
              </w:rPr>
              <w:t>序号</w:t>
            </w:r>
          </w:p>
        </w:tc>
        <w:tc>
          <w:tcPr>
            <w:tcW w:w="1554"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65020741">
            <w:pPr>
              <w:jc w:val="center"/>
              <w:rPr>
                <w:rFonts w:hint="eastAsia" w:ascii="宋体" w:hAnsi="宋体" w:eastAsia="宋体" w:cs="Times New Roman"/>
                <w:b/>
                <w:bCs/>
                <w:kern w:val="2"/>
                <w:sz w:val="22"/>
                <w:szCs w:val="22"/>
                <w:lang w:val="en-US" w:eastAsia="zh-CN" w:bidi="ar-SA"/>
              </w:rPr>
            </w:pPr>
            <w:r>
              <w:rPr>
                <w:rStyle w:val="6"/>
                <w:rFonts w:hint="eastAsia" w:ascii="宋体" w:hAnsi="宋体" w:cs="Arial"/>
                <w:sz w:val="22"/>
                <w:szCs w:val="22"/>
              </w:rPr>
              <w:t>评审项目</w:t>
            </w:r>
          </w:p>
        </w:tc>
        <w:tc>
          <w:tcPr>
            <w:tcW w:w="6511"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40EFF6CC">
            <w:pPr>
              <w:spacing w:line="400" w:lineRule="exact"/>
              <w:jc w:val="center"/>
              <w:rPr>
                <w:rFonts w:hint="eastAsia" w:ascii="宋体" w:hAnsi="宋体" w:eastAsia="宋体" w:cs="Times New Roman"/>
                <w:b/>
                <w:bCs/>
                <w:kern w:val="2"/>
                <w:sz w:val="22"/>
                <w:szCs w:val="22"/>
                <w:lang w:val="en-US" w:eastAsia="zh-CN" w:bidi="ar-SA"/>
              </w:rPr>
            </w:pPr>
            <w:r>
              <w:rPr>
                <w:rFonts w:hint="eastAsia" w:ascii="宋体" w:hAnsi="宋体"/>
                <w:b/>
                <w:bCs/>
                <w:sz w:val="22"/>
                <w:szCs w:val="22"/>
              </w:rPr>
              <w:t>评审标准</w:t>
            </w:r>
          </w:p>
        </w:tc>
        <w:tc>
          <w:tcPr>
            <w:tcW w:w="930"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6E0143D2">
            <w:pPr>
              <w:jc w:val="center"/>
              <w:rPr>
                <w:rFonts w:hint="eastAsia" w:ascii="宋体" w:hAnsi="宋体" w:eastAsia="宋体" w:cs="Times New Roman"/>
                <w:b/>
                <w:bCs/>
                <w:kern w:val="2"/>
                <w:sz w:val="22"/>
                <w:szCs w:val="22"/>
                <w:lang w:val="en-US" w:eastAsia="zh-CN" w:bidi="ar-SA"/>
              </w:rPr>
            </w:pPr>
            <w:r>
              <w:rPr>
                <w:rFonts w:hint="eastAsia" w:ascii="宋体" w:hAnsi="宋体"/>
                <w:b/>
                <w:bCs/>
                <w:sz w:val="22"/>
                <w:szCs w:val="22"/>
              </w:rPr>
              <w:t>分值</w:t>
            </w:r>
          </w:p>
        </w:tc>
      </w:tr>
      <w:tr w14:paraId="1BDFE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458" w:type="dxa"/>
            <w:tcBorders>
              <w:top w:val="single" w:color="auto" w:sz="4" w:space="0"/>
              <w:left w:val="single" w:color="auto" w:sz="4" w:space="0"/>
              <w:bottom w:val="single" w:color="auto" w:sz="4" w:space="0"/>
              <w:right w:val="single" w:color="auto" w:sz="4" w:space="0"/>
            </w:tcBorders>
            <w:noWrap w:val="0"/>
            <w:vAlign w:val="center"/>
          </w:tcPr>
          <w:p w14:paraId="09C8B4D8">
            <w:pPr>
              <w:widowControl/>
              <w:jc w:val="center"/>
              <w:rPr>
                <w:rFonts w:hint="eastAsia" w:ascii="宋体" w:hAnsi="宋体" w:cs="宋体"/>
                <w:kern w:val="0"/>
                <w:sz w:val="22"/>
                <w:szCs w:val="22"/>
              </w:rPr>
            </w:pPr>
            <w:r>
              <w:rPr>
                <w:rFonts w:hint="eastAsia" w:ascii="宋体" w:hAnsi="宋体" w:cs="宋体"/>
                <w:kern w:val="0"/>
                <w:sz w:val="22"/>
                <w:szCs w:val="22"/>
              </w:rPr>
              <w:t>1</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65D60472">
            <w:pPr>
              <w:widowControl/>
              <w:jc w:val="center"/>
              <w:rPr>
                <w:rFonts w:hint="eastAsia" w:ascii="宋体" w:hAnsi="宋体" w:cs="宋体"/>
                <w:kern w:val="0"/>
                <w:sz w:val="22"/>
                <w:szCs w:val="22"/>
              </w:rPr>
            </w:pPr>
            <w:r>
              <w:rPr>
                <w:rFonts w:hint="eastAsia" w:ascii="宋体" w:hAnsi="宋体" w:cs="宋体"/>
                <w:kern w:val="0"/>
                <w:sz w:val="22"/>
                <w:szCs w:val="22"/>
              </w:rPr>
              <w:t>设计方案演示</w:t>
            </w:r>
          </w:p>
        </w:tc>
        <w:tc>
          <w:tcPr>
            <w:tcW w:w="6511" w:type="dxa"/>
            <w:tcBorders>
              <w:top w:val="single" w:color="auto" w:sz="4" w:space="0"/>
              <w:left w:val="single" w:color="auto" w:sz="4" w:space="0"/>
              <w:bottom w:val="single" w:color="auto" w:sz="4" w:space="0"/>
              <w:right w:val="single" w:color="auto" w:sz="4" w:space="0"/>
            </w:tcBorders>
            <w:noWrap w:val="0"/>
            <w:vAlign w:val="center"/>
          </w:tcPr>
          <w:p w14:paraId="2D1FAABB">
            <w:pPr>
              <w:pStyle w:val="2"/>
              <w:ind w:firstLine="0"/>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供应商须派项目负责人对设计方案以PPT进行演示并现场讲解,由评审委员会对供应商项目方案的思路、逻辑以及对本项目的设计概念各层面进行综合评审：</w:t>
            </w:r>
          </w:p>
          <w:p w14:paraId="69F07028">
            <w:pPr>
              <w:pStyle w:val="2"/>
              <w:ind w:firstLine="440" w:firstLineChars="200"/>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1、设计方案思路科学合理，款式设计新颖符合采购人要求，优于用户需求的，得30分；</w:t>
            </w:r>
          </w:p>
          <w:p w14:paraId="78B98E36">
            <w:pPr>
              <w:pStyle w:val="2"/>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2、设计方案思路较合理，款式设计合理比较符合采购人要求，满足用户需求的，得20分；</w:t>
            </w:r>
          </w:p>
          <w:p w14:paraId="3103735E">
            <w:pPr>
              <w:pStyle w:val="2"/>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3、设计方案思路一般，款式设计一般基本符合采购人要求，基本满足用户需求的，得10分；</w:t>
            </w:r>
          </w:p>
          <w:p w14:paraId="65B65732">
            <w:pPr>
              <w:pStyle w:val="2"/>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4、设计方案思路较差，款式设计较差基本不符合采购人要求，基本不满足用户需求的，得5分；</w:t>
            </w:r>
          </w:p>
          <w:p w14:paraId="05001528">
            <w:pPr>
              <w:pStyle w:val="2"/>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5、设计方案思路差，款式设计差完全不符合采购人要求，不满足用户需求的，得1分；</w:t>
            </w:r>
          </w:p>
          <w:p w14:paraId="6FFA2DF9">
            <w:pPr>
              <w:pStyle w:val="2"/>
              <w:ind w:firstLine="440" w:firstLineChars="200"/>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6、无提供不得分。</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48F3C203">
            <w:pPr>
              <w:widowControl/>
              <w:jc w:val="center"/>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30</w:t>
            </w:r>
          </w:p>
        </w:tc>
      </w:tr>
      <w:tr w14:paraId="72421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58" w:type="dxa"/>
            <w:tcBorders>
              <w:top w:val="single" w:color="auto" w:sz="4" w:space="0"/>
              <w:left w:val="single" w:color="auto" w:sz="4" w:space="0"/>
              <w:bottom w:val="single" w:color="auto" w:sz="4" w:space="0"/>
              <w:right w:val="single" w:color="auto" w:sz="4" w:space="0"/>
            </w:tcBorders>
            <w:noWrap w:val="0"/>
            <w:vAlign w:val="center"/>
          </w:tcPr>
          <w:p w14:paraId="4215EBAE">
            <w:pPr>
              <w:widowControl/>
              <w:jc w:val="center"/>
              <w:rPr>
                <w:rFonts w:hint="eastAsia" w:ascii="宋体" w:hAnsi="宋体" w:cs="宋体"/>
                <w:kern w:val="0"/>
                <w:sz w:val="22"/>
                <w:szCs w:val="22"/>
              </w:rPr>
            </w:pPr>
            <w:r>
              <w:rPr>
                <w:rFonts w:ascii="宋体" w:hAnsi="宋体" w:cs="宋体"/>
                <w:kern w:val="0"/>
                <w:sz w:val="22"/>
                <w:szCs w:val="22"/>
              </w:rPr>
              <w:t>2</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324AF2D8">
            <w:pPr>
              <w:widowControl/>
              <w:jc w:val="center"/>
              <w:rPr>
                <w:rFonts w:hint="eastAsia" w:ascii="宋体" w:hAnsi="宋体" w:cs="Calibri"/>
                <w:sz w:val="22"/>
                <w:szCs w:val="22"/>
              </w:rPr>
            </w:pPr>
            <w:r>
              <w:rPr>
                <w:rFonts w:hint="eastAsia" w:ascii="宋体" w:hAnsi="宋体" w:cs="宋体"/>
                <w:kern w:val="0"/>
                <w:sz w:val="22"/>
                <w:szCs w:val="22"/>
              </w:rPr>
              <w:t>实施方案</w:t>
            </w:r>
          </w:p>
        </w:tc>
        <w:tc>
          <w:tcPr>
            <w:tcW w:w="6511" w:type="dxa"/>
            <w:tcBorders>
              <w:top w:val="single" w:color="auto" w:sz="4" w:space="0"/>
              <w:left w:val="single" w:color="auto" w:sz="4" w:space="0"/>
              <w:bottom w:val="single" w:color="auto" w:sz="4" w:space="0"/>
              <w:right w:val="single" w:color="auto" w:sz="4" w:space="0"/>
            </w:tcBorders>
            <w:noWrap w:val="0"/>
            <w:vAlign w:val="center"/>
          </w:tcPr>
          <w:p w14:paraId="44C64A86">
            <w:pPr>
              <w:spacing w:line="320" w:lineRule="exact"/>
              <w:jc w:val="left"/>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实施方案完善具体有计划性、高度有效及科学可行的综合评价优得5分；</w:t>
            </w:r>
          </w:p>
          <w:p w14:paraId="675B17CD">
            <w:pPr>
              <w:spacing w:line="320" w:lineRule="exact"/>
              <w:jc w:val="left"/>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实施方案比较完整、可行性较好的综合评价良好得4分；</w:t>
            </w:r>
          </w:p>
          <w:p w14:paraId="56A26EFB">
            <w:pPr>
              <w:spacing w:line="320" w:lineRule="exact"/>
              <w:jc w:val="left"/>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实施方案比较简单、可行性一般的综合评价一般得3分；实</w:t>
            </w:r>
          </w:p>
          <w:p w14:paraId="6432BF5A">
            <w:pPr>
              <w:spacing w:line="320" w:lineRule="exact"/>
              <w:jc w:val="left"/>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施方案不完整、可行性较差的综合评价较差得2分；</w:t>
            </w:r>
          </w:p>
          <w:p w14:paraId="5D7022D6">
            <w:pPr>
              <w:spacing w:line="320" w:lineRule="exact"/>
              <w:jc w:val="left"/>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实施方案不完整可行性差的得1分，不提供实施计划的得0分。</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1ED6DC2F">
            <w:pPr>
              <w:spacing w:line="320" w:lineRule="exact"/>
              <w:jc w:val="left"/>
              <w:rPr>
                <w:rFonts w:hint="eastAsia" w:ascii="宋体" w:hAnsi="宋体" w:eastAsia="宋体" w:cs="宋体"/>
                <w:kern w:val="2"/>
                <w:sz w:val="22"/>
                <w:szCs w:val="22"/>
                <w:lang w:val="en-US" w:eastAsia="zh-CN" w:bidi="ar-SA"/>
              </w:rPr>
            </w:pPr>
            <w:r>
              <w:rPr>
                <w:rFonts w:hint="eastAsia" w:ascii="宋体" w:hAnsi="宋体" w:eastAsia="宋体" w:cs="宋体"/>
                <w:kern w:val="2"/>
                <w:sz w:val="22"/>
                <w:szCs w:val="22"/>
                <w:lang w:val="en-US" w:eastAsia="zh-CN" w:bidi="ar-SA"/>
              </w:rPr>
              <w:t>5</w:t>
            </w:r>
          </w:p>
        </w:tc>
      </w:tr>
      <w:tr w14:paraId="1178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458" w:type="dxa"/>
            <w:tcBorders>
              <w:top w:val="single" w:color="auto" w:sz="4" w:space="0"/>
              <w:left w:val="single" w:color="auto" w:sz="4" w:space="0"/>
              <w:bottom w:val="single" w:color="auto" w:sz="4" w:space="0"/>
              <w:right w:val="single" w:color="auto" w:sz="4" w:space="0"/>
            </w:tcBorders>
            <w:noWrap w:val="0"/>
            <w:vAlign w:val="center"/>
          </w:tcPr>
          <w:p w14:paraId="195C1ABA">
            <w:pPr>
              <w:widowControl/>
              <w:jc w:val="center"/>
              <w:rPr>
                <w:rFonts w:hint="eastAsia" w:ascii="宋体" w:hAnsi="宋体" w:cs="宋体"/>
                <w:kern w:val="0"/>
                <w:sz w:val="22"/>
                <w:szCs w:val="22"/>
              </w:rPr>
            </w:pPr>
            <w:r>
              <w:rPr>
                <w:rFonts w:ascii="宋体" w:hAnsi="宋体" w:cs="宋体"/>
                <w:kern w:val="0"/>
                <w:sz w:val="22"/>
                <w:szCs w:val="22"/>
              </w:rPr>
              <w:t>3</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516BF55B">
            <w:pPr>
              <w:widowControl/>
              <w:jc w:val="center"/>
              <w:rPr>
                <w:rFonts w:hint="eastAsia" w:ascii="宋体" w:hAnsi="宋体" w:cs="仿宋_GB2312"/>
                <w:color w:val="000000"/>
                <w:kern w:val="0"/>
                <w:sz w:val="22"/>
                <w:szCs w:val="22"/>
              </w:rPr>
            </w:pPr>
            <w:r>
              <w:rPr>
                <w:rFonts w:hint="eastAsia" w:ascii="宋体" w:hAnsi="宋体" w:cs="仿宋_GB2312"/>
                <w:color w:val="000000"/>
                <w:kern w:val="0"/>
                <w:sz w:val="22"/>
                <w:szCs w:val="22"/>
              </w:rPr>
              <w:t>质量保证措施</w:t>
            </w:r>
          </w:p>
        </w:tc>
        <w:tc>
          <w:tcPr>
            <w:tcW w:w="6511" w:type="dxa"/>
            <w:tcBorders>
              <w:top w:val="single" w:color="auto" w:sz="4" w:space="0"/>
              <w:left w:val="single" w:color="auto" w:sz="4" w:space="0"/>
              <w:bottom w:val="single" w:color="auto" w:sz="4" w:space="0"/>
              <w:right w:val="single" w:color="auto" w:sz="4" w:space="0"/>
            </w:tcBorders>
            <w:noWrap w:val="0"/>
            <w:vAlign w:val="center"/>
          </w:tcPr>
          <w:p w14:paraId="5AA8CACA">
            <w:pPr>
              <w:spacing w:line="320" w:lineRule="exact"/>
              <w:jc w:val="left"/>
              <w:rPr>
                <w:rFonts w:ascii="宋体" w:hAnsi="宋体" w:cs="宋体"/>
                <w:sz w:val="22"/>
                <w:szCs w:val="22"/>
              </w:rPr>
            </w:pPr>
            <w:r>
              <w:rPr>
                <w:rFonts w:hint="eastAsia" w:ascii="宋体" w:hAnsi="宋体" w:cs="宋体"/>
                <w:sz w:val="22"/>
                <w:szCs w:val="22"/>
              </w:rPr>
              <w:t>项目质量保障措施及方案内容全面，保证措施得当，针对性强的综合评价优得</w:t>
            </w:r>
            <w:r>
              <w:rPr>
                <w:rFonts w:ascii="宋体" w:hAnsi="宋体" w:cs="宋体"/>
                <w:sz w:val="22"/>
                <w:szCs w:val="22"/>
              </w:rPr>
              <w:t>10</w:t>
            </w:r>
            <w:r>
              <w:rPr>
                <w:rFonts w:hint="eastAsia" w:ascii="宋体" w:hAnsi="宋体" w:cs="宋体"/>
                <w:sz w:val="22"/>
                <w:szCs w:val="22"/>
              </w:rPr>
              <w:t>分；</w:t>
            </w:r>
          </w:p>
          <w:p w14:paraId="77748F9A">
            <w:pPr>
              <w:spacing w:line="320" w:lineRule="exact"/>
              <w:jc w:val="left"/>
              <w:rPr>
                <w:rFonts w:ascii="宋体" w:hAnsi="宋体" w:cs="宋体"/>
                <w:sz w:val="22"/>
                <w:szCs w:val="22"/>
              </w:rPr>
            </w:pPr>
            <w:r>
              <w:rPr>
                <w:rFonts w:hint="eastAsia" w:ascii="宋体" w:hAnsi="宋体" w:cs="宋体"/>
                <w:sz w:val="22"/>
                <w:szCs w:val="22"/>
              </w:rPr>
              <w:t>项目质量保障措施及方案内容比较全面，保证措施可行，针对性较强的综合评价良好得7分；</w:t>
            </w:r>
          </w:p>
          <w:p w14:paraId="34625346">
            <w:pPr>
              <w:spacing w:line="320" w:lineRule="exact"/>
              <w:jc w:val="left"/>
              <w:rPr>
                <w:rFonts w:ascii="宋体" w:hAnsi="宋体" w:cs="宋体"/>
                <w:sz w:val="22"/>
                <w:szCs w:val="22"/>
              </w:rPr>
            </w:pPr>
            <w:r>
              <w:rPr>
                <w:rFonts w:hint="eastAsia" w:ascii="宋体" w:hAnsi="宋体" w:cs="宋体"/>
                <w:sz w:val="22"/>
                <w:szCs w:val="22"/>
              </w:rPr>
              <w:t>项目质量保障措施及方案内容一般全面，保证措施可行性一般，针对性一般的综合评价一般得5分；</w:t>
            </w:r>
          </w:p>
          <w:p w14:paraId="15868691">
            <w:pPr>
              <w:spacing w:line="320" w:lineRule="exact"/>
              <w:jc w:val="left"/>
              <w:rPr>
                <w:rFonts w:ascii="宋体" w:hAnsi="宋体" w:cs="宋体"/>
                <w:sz w:val="22"/>
                <w:szCs w:val="22"/>
              </w:rPr>
            </w:pPr>
            <w:r>
              <w:rPr>
                <w:rFonts w:hint="eastAsia" w:ascii="宋体" w:hAnsi="宋体" w:cs="宋体"/>
                <w:sz w:val="22"/>
                <w:szCs w:val="22"/>
              </w:rPr>
              <w:t>项目质量保障措施及方案内容较不完整，保证措施可行性较差，针对性较差的综合评价较差得3分；</w:t>
            </w:r>
          </w:p>
          <w:p w14:paraId="72DC4005">
            <w:pPr>
              <w:spacing w:line="320" w:lineRule="exact"/>
              <w:jc w:val="left"/>
              <w:rPr>
                <w:rFonts w:ascii="宋体" w:hAnsi="宋体" w:cs="宋体"/>
                <w:sz w:val="22"/>
                <w:szCs w:val="22"/>
              </w:rPr>
            </w:pPr>
            <w:r>
              <w:rPr>
                <w:rFonts w:hint="eastAsia" w:ascii="宋体" w:hAnsi="宋体" w:cs="宋体"/>
                <w:sz w:val="22"/>
                <w:szCs w:val="22"/>
              </w:rPr>
              <w:t>项目质量保障措施及方案内容不完整，无服务体系，可行性差的得1分；</w:t>
            </w:r>
          </w:p>
          <w:p w14:paraId="2B219376">
            <w:pPr>
              <w:spacing w:line="320" w:lineRule="exact"/>
              <w:jc w:val="left"/>
              <w:rPr>
                <w:rFonts w:hint="eastAsia" w:ascii="宋体" w:hAnsi="宋体" w:cs="宋体"/>
                <w:sz w:val="22"/>
                <w:szCs w:val="22"/>
              </w:rPr>
            </w:pPr>
            <w:r>
              <w:rPr>
                <w:rFonts w:hint="eastAsia" w:ascii="宋体" w:hAnsi="宋体" w:cs="宋体"/>
                <w:sz w:val="22"/>
                <w:szCs w:val="22"/>
              </w:rPr>
              <w:t>不提供实施计划的得0分。</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6EE8F4C8">
            <w:pPr>
              <w:widowControl/>
              <w:jc w:val="center"/>
              <w:rPr>
                <w:rFonts w:ascii="宋体" w:hAnsi="宋体" w:cs="宋体"/>
                <w:kern w:val="0"/>
                <w:sz w:val="22"/>
                <w:szCs w:val="22"/>
              </w:rPr>
            </w:pPr>
            <w:r>
              <w:rPr>
                <w:rFonts w:hint="eastAsia" w:ascii="宋体" w:hAnsi="宋体" w:cs="宋体"/>
                <w:kern w:val="0"/>
                <w:sz w:val="22"/>
                <w:szCs w:val="22"/>
              </w:rPr>
              <w:t>10</w:t>
            </w:r>
          </w:p>
        </w:tc>
      </w:tr>
      <w:tr w14:paraId="0D2C4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458" w:type="dxa"/>
            <w:tcBorders>
              <w:top w:val="single" w:color="auto" w:sz="4" w:space="0"/>
              <w:left w:val="single" w:color="auto" w:sz="4" w:space="0"/>
              <w:bottom w:val="single" w:color="auto" w:sz="4" w:space="0"/>
              <w:right w:val="single" w:color="auto" w:sz="4" w:space="0"/>
            </w:tcBorders>
            <w:noWrap w:val="0"/>
            <w:vAlign w:val="center"/>
          </w:tcPr>
          <w:p w14:paraId="0B360DA7">
            <w:pPr>
              <w:widowControl/>
              <w:jc w:val="center"/>
              <w:rPr>
                <w:rFonts w:ascii="宋体" w:hAnsi="宋体" w:cs="宋体"/>
                <w:kern w:val="0"/>
                <w:sz w:val="22"/>
                <w:szCs w:val="22"/>
              </w:rPr>
            </w:pPr>
            <w:r>
              <w:rPr>
                <w:rFonts w:ascii="宋体" w:hAnsi="宋体" w:cs="宋体"/>
                <w:kern w:val="0"/>
                <w:sz w:val="22"/>
                <w:szCs w:val="22"/>
              </w:rPr>
              <w:t>4</w:t>
            </w:r>
          </w:p>
        </w:tc>
        <w:tc>
          <w:tcPr>
            <w:tcW w:w="1554" w:type="dxa"/>
            <w:tcBorders>
              <w:top w:val="single" w:color="auto" w:sz="4" w:space="0"/>
              <w:left w:val="single" w:color="auto" w:sz="4" w:space="0"/>
              <w:bottom w:val="single" w:color="auto" w:sz="4" w:space="0"/>
              <w:right w:val="single" w:color="auto" w:sz="4" w:space="0"/>
            </w:tcBorders>
            <w:noWrap w:val="0"/>
            <w:vAlign w:val="center"/>
          </w:tcPr>
          <w:p w14:paraId="3803CD75">
            <w:pPr>
              <w:widowControl/>
              <w:jc w:val="center"/>
              <w:rPr>
                <w:rFonts w:hint="eastAsia" w:ascii="宋体" w:hAnsi="宋体" w:cs="仿宋_GB2312"/>
                <w:color w:val="000000"/>
                <w:kern w:val="0"/>
                <w:sz w:val="22"/>
                <w:szCs w:val="22"/>
              </w:rPr>
            </w:pPr>
            <w:r>
              <w:rPr>
                <w:rFonts w:hint="eastAsia" w:ascii="宋体" w:hAnsi="宋体" w:cs="仿宋_GB2312"/>
                <w:color w:val="000000"/>
                <w:kern w:val="0"/>
                <w:sz w:val="22"/>
                <w:szCs w:val="22"/>
              </w:rPr>
              <w:t>售后服务方案及承诺</w:t>
            </w:r>
          </w:p>
        </w:tc>
        <w:tc>
          <w:tcPr>
            <w:tcW w:w="6511" w:type="dxa"/>
            <w:tcBorders>
              <w:top w:val="single" w:color="auto" w:sz="4" w:space="0"/>
              <w:left w:val="single" w:color="auto" w:sz="4" w:space="0"/>
              <w:bottom w:val="single" w:color="auto" w:sz="4" w:space="0"/>
              <w:right w:val="single" w:color="auto" w:sz="4" w:space="0"/>
            </w:tcBorders>
            <w:noWrap w:val="0"/>
            <w:vAlign w:val="center"/>
          </w:tcPr>
          <w:p w14:paraId="564E8D3C">
            <w:pPr>
              <w:spacing w:line="320" w:lineRule="exact"/>
              <w:jc w:val="left"/>
              <w:rPr>
                <w:rFonts w:ascii="宋体" w:hAnsi="宋体" w:cs="宋体"/>
                <w:sz w:val="22"/>
                <w:szCs w:val="22"/>
              </w:rPr>
            </w:pPr>
            <w:r>
              <w:rPr>
                <w:rFonts w:hint="eastAsia" w:ascii="宋体" w:hAnsi="宋体" w:cs="宋体"/>
                <w:sz w:val="22"/>
                <w:szCs w:val="22"/>
              </w:rPr>
              <w:t>售后服务方案及承诺内容全面，针对性及可操作性强，得1</w:t>
            </w:r>
            <w:r>
              <w:rPr>
                <w:rFonts w:ascii="宋体" w:hAnsi="宋体" w:cs="宋体"/>
                <w:sz w:val="22"/>
                <w:szCs w:val="22"/>
              </w:rPr>
              <w:t>0</w:t>
            </w:r>
            <w:r>
              <w:rPr>
                <w:rFonts w:hint="eastAsia" w:ascii="宋体" w:hAnsi="宋体" w:cs="宋体"/>
                <w:sz w:val="22"/>
                <w:szCs w:val="22"/>
              </w:rPr>
              <w:t>分；</w:t>
            </w:r>
          </w:p>
          <w:p w14:paraId="41CD13C7">
            <w:pPr>
              <w:spacing w:line="320" w:lineRule="exact"/>
              <w:jc w:val="left"/>
              <w:rPr>
                <w:rFonts w:ascii="宋体" w:hAnsi="宋体" w:cs="宋体"/>
                <w:sz w:val="22"/>
                <w:szCs w:val="22"/>
              </w:rPr>
            </w:pPr>
            <w:r>
              <w:rPr>
                <w:rFonts w:hint="eastAsia" w:ascii="宋体" w:hAnsi="宋体" w:cs="宋体"/>
                <w:sz w:val="22"/>
                <w:szCs w:val="22"/>
              </w:rPr>
              <w:t>售后服务方案及承诺内容较全面，针对性及可操作性较强，得7分；</w:t>
            </w:r>
          </w:p>
          <w:p w14:paraId="2CF9B3BE">
            <w:pPr>
              <w:spacing w:line="320" w:lineRule="exact"/>
              <w:jc w:val="left"/>
              <w:rPr>
                <w:rFonts w:ascii="宋体" w:hAnsi="宋体" w:cs="宋体"/>
                <w:sz w:val="22"/>
                <w:szCs w:val="22"/>
              </w:rPr>
            </w:pPr>
            <w:r>
              <w:rPr>
                <w:rFonts w:hint="eastAsia" w:ascii="宋体" w:hAnsi="宋体" w:cs="宋体"/>
                <w:sz w:val="22"/>
                <w:szCs w:val="22"/>
              </w:rPr>
              <w:t>售后服务方案及承诺内容一般，针对性及可操作性一般，得4分；</w:t>
            </w:r>
          </w:p>
          <w:p w14:paraId="5F1629DD">
            <w:pPr>
              <w:spacing w:line="320" w:lineRule="exact"/>
              <w:jc w:val="left"/>
              <w:rPr>
                <w:rFonts w:ascii="宋体" w:hAnsi="宋体" w:cs="宋体"/>
                <w:sz w:val="22"/>
                <w:szCs w:val="22"/>
              </w:rPr>
            </w:pPr>
            <w:r>
              <w:rPr>
                <w:rFonts w:hint="eastAsia" w:ascii="宋体" w:hAnsi="宋体" w:cs="宋体"/>
                <w:sz w:val="22"/>
                <w:szCs w:val="22"/>
              </w:rPr>
              <w:t>售后服务方案及承诺内容差，针对性及可操作性弱，得1分；</w:t>
            </w:r>
          </w:p>
          <w:p w14:paraId="004DAE72">
            <w:pPr>
              <w:spacing w:line="320" w:lineRule="exact"/>
              <w:jc w:val="left"/>
              <w:rPr>
                <w:rFonts w:hint="eastAsia" w:ascii="宋体" w:hAnsi="宋体" w:cs="宋体"/>
                <w:sz w:val="22"/>
                <w:szCs w:val="22"/>
              </w:rPr>
            </w:pPr>
            <w:r>
              <w:rPr>
                <w:rFonts w:hint="eastAsia" w:ascii="宋体" w:hAnsi="宋体" w:cs="宋体"/>
                <w:sz w:val="22"/>
                <w:szCs w:val="22"/>
              </w:rPr>
              <w:t>不提供售后服务方案及承诺得0分。</w:t>
            </w:r>
          </w:p>
        </w:tc>
        <w:tc>
          <w:tcPr>
            <w:tcW w:w="930" w:type="dxa"/>
            <w:tcBorders>
              <w:top w:val="single" w:color="auto" w:sz="4" w:space="0"/>
              <w:left w:val="single" w:color="auto" w:sz="4" w:space="0"/>
              <w:bottom w:val="single" w:color="auto" w:sz="4" w:space="0"/>
              <w:right w:val="single" w:color="auto" w:sz="4" w:space="0"/>
            </w:tcBorders>
            <w:noWrap w:val="0"/>
            <w:vAlign w:val="center"/>
          </w:tcPr>
          <w:p w14:paraId="6CCF87D8">
            <w:pPr>
              <w:widowControl/>
              <w:jc w:val="center"/>
              <w:rPr>
                <w:rFonts w:hint="eastAsia" w:ascii="宋体" w:hAnsi="宋体" w:cs="宋体"/>
                <w:kern w:val="0"/>
                <w:sz w:val="22"/>
                <w:szCs w:val="22"/>
              </w:rPr>
            </w:pPr>
            <w:r>
              <w:rPr>
                <w:rFonts w:hint="eastAsia" w:ascii="宋体" w:hAnsi="宋体" w:cs="宋体"/>
                <w:kern w:val="0"/>
                <w:sz w:val="22"/>
                <w:szCs w:val="22"/>
              </w:rPr>
              <w:t>1</w:t>
            </w:r>
            <w:r>
              <w:rPr>
                <w:rFonts w:ascii="宋体" w:hAnsi="宋体" w:cs="宋体"/>
                <w:kern w:val="0"/>
                <w:sz w:val="22"/>
                <w:szCs w:val="22"/>
              </w:rPr>
              <w:t>0</w:t>
            </w:r>
          </w:p>
        </w:tc>
      </w:tr>
      <w:tr w14:paraId="38788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523"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1A286360">
            <w:pPr>
              <w:spacing w:line="400" w:lineRule="exact"/>
              <w:jc w:val="center"/>
              <w:rPr>
                <w:rFonts w:hint="eastAsia" w:ascii="宋体" w:hAnsi="宋体" w:cs="Calibri"/>
                <w:b/>
                <w:bCs/>
                <w:sz w:val="22"/>
                <w:szCs w:val="22"/>
              </w:rPr>
            </w:pPr>
            <w:r>
              <w:rPr>
                <w:rFonts w:hint="eastAsia" w:ascii="宋体" w:hAnsi="宋体"/>
                <w:b/>
                <w:bCs/>
                <w:sz w:val="22"/>
                <w:szCs w:val="22"/>
              </w:rPr>
              <w:t>合计</w:t>
            </w:r>
          </w:p>
        </w:tc>
        <w:tc>
          <w:tcPr>
            <w:tcW w:w="930"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38DE922C">
            <w:pPr>
              <w:spacing w:line="360" w:lineRule="auto"/>
              <w:jc w:val="center"/>
              <w:rPr>
                <w:rFonts w:hint="eastAsia" w:ascii="宋体" w:hAnsi="宋体"/>
                <w:b/>
                <w:bCs/>
                <w:sz w:val="22"/>
                <w:szCs w:val="22"/>
              </w:rPr>
            </w:pPr>
            <w:r>
              <w:rPr>
                <w:rFonts w:ascii="宋体" w:hAnsi="宋体"/>
                <w:b/>
                <w:bCs/>
                <w:sz w:val="22"/>
                <w:szCs w:val="22"/>
              </w:rPr>
              <w:t>55</w:t>
            </w:r>
            <w:r>
              <w:rPr>
                <w:rFonts w:hint="eastAsia" w:ascii="宋体" w:hAnsi="宋体"/>
                <w:b/>
                <w:bCs/>
                <w:sz w:val="22"/>
                <w:szCs w:val="22"/>
              </w:rPr>
              <w:t>分</w:t>
            </w:r>
          </w:p>
        </w:tc>
      </w:tr>
    </w:tbl>
    <w:p w14:paraId="7A58758E">
      <w:pPr>
        <w:pStyle w:val="2"/>
        <w:tabs>
          <w:tab w:val="left" w:pos="3780"/>
        </w:tabs>
        <w:ind w:firstLine="0"/>
        <w:rPr>
          <w:rFonts w:hint="eastAsia" w:ascii="宋体" w:hAnsi="宋体" w:cs="宋体"/>
          <w:sz w:val="22"/>
          <w:szCs w:val="22"/>
        </w:rPr>
      </w:pPr>
    </w:p>
    <w:tbl>
      <w:tblPr>
        <w:tblStyle w:val="4"/>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1875"/>
        <w:gridCol w:w="6246"/>
        <w:gridCol w:w="131"/>
        <w:gridCol w:w="739"/>
      </w:tblGrid>
      <w:tr w14:paraId="1F0A4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9712" w:type="dxa"/>
            <w:gridSpan w:val="5"/>
            <w:tcBorders>
              <w:top w:val="single" w:color="auto" w:sz="4" w:space="0"/>
              <w:left w:val="single" w:color="auto" w:sz="4" w:space="0"/>
              <w:bottom w:val="single" w:color="auto" w:sz="4" w:space="0"/>
              <w:right w:val="single" w:color="auto" w:sz="4" w:space="0"/>
            </w:tcBorders>
            <w:shd w:val="clear" w:color="auto" w:fill="D9D9D9"/>
            <w:noWrap w:val="0"/>
            <w:vAlign w:val="center"/>
          </w:tcPr>
          <w:p w14:paraId="0F339ED6">
            <w:pPr>
              <w:jc w:val="center"/>
              <w:rPr>
                <w:rFonts w:hint="default" w:ascii="宋体" w:hAnsi="宋体" w:eastAsia="宋体"/>
                <w:b/>
                <w:bCs/>
                <w:sz w:val="22"/>
                <w:szCs w:val="22"/>
                <w:lang w:val="en-US" w:eastAsia="zh-CN"/>
              </w:rPr>
            </w:pPr>
            <w:r>
              <w:rPr>
                <w:rFonts w:hint="eastAsia" w:ascii="宋体" w:hAnsi="宋体"/>
                <w:b/>
                <w:bCs/>
                <w:sz w:val="22"/>
                <w:szCs w:val="22"/>
                <w:lang w:val="en-US" w:eastAsia="zh-CN"/>
              </w:rPr>
              <w:t>二、商务评分</w:t>
            </w:r>
          </w:p>
        </w:tc>
      </w:tr>
      <w:tr w14:paraId="39B90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721"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76B4BF49">
            <w:pPr>
              <w:jc w:val="center"/>
              <w:rPr>
                <w:rFonts w:hint="eastAsia" w:ascii="宋体" w:hAnsi="宋体" w:cs="Calibri"/>
                <w:b/>
                <w:bCs/>
                <w:sz w:val="22"/>
                <w:szCs w:val="22"/>
              </w:rPr>
            </w:pPr>
            <w:r>
              <w:rPr>
                <w:rFonts w:hint="eastAsia" w:ascii="宋体" w:hAnsi="宋体"/>
                <w:b/>
                <w:bCs/>
                <w:sz w:val="22"/>
                <w:szCs w:val="22"/>
              </w:rPr>
              <w:t>序号</w:t>
            </w:r>
          </w:p>
        </w:tc>
        <w:tc>
          <w:tcPr>
            <w:tcW w:w="1875"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6011AB4B">
            <w:pPr>
              <w:jc w:val="center"/>
              <w:rPr>
                <w:rFonts w:hint="eastAsia" w:ascii="宋体" w:hAnsi="宋体"/>
                <w:b/>
                <w:bCs/>
                <w:sz w:val="22"/>
                <w:szCs w:val="22"/>
              </w:rPr>
            </w:pPr>
            <w:r>
              <w:rPr>
                <w:rStyle w:val="6"/>
                <w:rFonts w:hint="eastAsia" w:ascii="宋体" w:hAnsi="宋体" w:cs="Arial"/>
                <w:sz w:val="22"/>
                <w:szCs w:val="22"/>
              </w:rPr>
              <w:t>评审项目</w:t>
            </w:r>
          </w:p>
        </w:tc>
        <w:tc>
          <w:tcPr>
            <w:tcW w:w="6377" w:type="dxa"/>
            <w:gridSpan w:val="2"/>
            <w:tcBorders>
              <w:top w:val="single" w:color="auto" w:sz="4" w:space="0"/>
              <w:left w:val="single" w:color="auto" w:sz="4" w:space="0"/>
              <w:bottom w:val="single" w:color="auto" w:sz="4" w:space="0"/>
              <w:right w:val="single" w:color="auto" w:sz="4" w:space="0"/>
            </w:tcBorders>
            <w:shd w:val="clear" w:color="auto" w:fill="D9D9D9"/>
            <w:noWrap w:val="0"/>
            <w:vAlign w:val="center"/>
          </w:tcPr>
          <w:p w14:paraId="6B196178">
            <w:pPr>
              <w:spacing w:line="400" w:lineRule="exact"/>
              <w:jc w:val="center"/>
              <w:rPr>
                <w:rFonts w:hint="eastAsia" w:ascii="宋体" w:hAnsi="宋体"/>
                <w:b/>
                <w:bCs/>
                <w:sz w:val="22"/>
                <w:szCs w:val="22"/>
              </w:rPr>
            </w:pPr>
            <w:r>
              <w:rPr>
                <w:rFonts w:hint="eastAsia" w:ascii="宋体" w:hAnsi="宋体"/>
                <w:b/>
                <w:bCs/>
                <w:sz w:val="22"/>
                <w:szCs w:val="22"/>
              </w:rPr>
              <w:t>评审标准</w:t>
            </w:r>
          </w:p>
        </w:tc>
        <w:tc>
          <w:tcPr>
            <w:tcW w:w="739"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0A52C382">
            <w:pPr>
              <w:jc w:val="center"/>
              <w:rPr>
                <w:rFonts w:hint="eastAsia" w:ascii="宋体" w:hAnsi="宋体"/>
                <w:b/>
                <w:bCs/>
                <w:sz w:val="22"/>
                <w:szCs w:val="22"/>
              </w:rPr>
            </w:pPr>
            <w:r>
              <w:rPr>
                <w:rFonts w:hint="eastAsia" w:ascii="宋体" w:hAnsi="宋体"/>
                <w:b/>
                <w:bCs/>
                <w:sz w:val="22"/>
                <w:szCs w:val="22"/>
              </w:rPr>
              <w:t>分值</w:t>
            </w:r>
          </w:p>
        </w:tc>
      </w:tr>
      <w:tr w14:paraId="71ED5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721" w:type="dxa"/>
            <w:tcBorders>
              <w:top w:val="single" w:color="auto" w:sz="4" w:space="0"/>
              <w:left w:val="single" w:color="auto" w:sz="4" w:space="0"/>
              <w:bottom w:val="single" w:color="auto" w:sz="4" w:space="0"/>
              <w:right w:val="single" w:color="auto" w:sz="4" w:space="0"/>
            </w:tcBorders>
            <w:noWrap w:val="0"/>
            <w:vAlign w:val="center"/>
          </w:tcPr>
          <w:p w14:paraId="02F77C18">
            <w:pPr>
              <w:widowControl/>
              <w:jc w:val="center"/>
              <w:rPr>
                <w:rFonts w:hint="eastAsia" w:ascii="宋体" w:hAnsi="宋体" w:cs="宋体"/>
                <w:kern w:val="0"/>
                <w:sz w:val="22"/>
                <w:szCs w:val="22"/>
              </w:rPr>
            </w:pPr>
            <w:r>
              <w:rPr>
                <w:rFonts w:ascii="宋体" w:hAnsi="宋体" w:cs="宋体"/>
                <w:kern w:val="0"/>
                <w:sz w:val="22"/>
                <w:szCs w:val="22"/>
              </w:rPr>
              <w:t>1</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679C204E">
            <w:pPr>
              <w:widowControl/>
              <w:jc w:val="center"/>
              <w:rPr>
                <w:rFonts w:hint="eastAsia" w:ascii="宋体" w:hAnsi="宋体" w:cs="Calibri"/>
                <w:sz w:val="22"/>
                <w:szCs w:val="22"/>
              </w:rPr>
            </w:pPr>
            <w:r>
              <w:rPr>
                <w:rFonts w:hint="eastAsia" w:ascii="宋体" w:hAnsi="宋体" w:cs="宋体"/>
                <w:kern w:val="0"/>
                <w:sz w:val="22"/>
                <w:szCs w:val="22"/>
              </w:rPr>
              <w:t>类似业绩</w:t>
            </w:r>
          </w:p>
        </w:tc>
        <w:tc>
          <w:tcPr>
            <w:tcW w:w="6377" w:type="dxa"/>
            <w:gridSpan w:val="2"/>
            <w:tcBorders>
              <w:top w:val="single" w:color="auto" w:sz="4" w:space="0"/>
              <w:left w:val="single" w:color="auto" w:sz="4" w:space="0"/>
              <w:bottom w:val="single" w:color="auto" w:sz="4" w:space="0"/>
              <w:right w:val="single" w:color="auto" w:sz="4" w:space="0"/>
            </w:tcBorders>
            <w:noWrap w:val="0"/>
            <w:vAlign w:val="center"/>
          </w:tcPr>
          <w:p w14:paraId="137D31E2">
            <w:pPr>
              <w:snapToGrid w:val="0"/>
              <w:rPr>
                <w:rFonts w:hint="eastAsia" w:ascii="宋体" w:hAnsi="宋体" w:cs="仿宋_GB2312"/>
                <w:sz w:val="22"/>
                <w:szCs w:val="22"/>
                <w:lang w:val="en-GB"/>
              </w:rPr>
            </w:pPr>
            <w:r>
              <w:rPr>
                <w:rFonts w:hint="eastAsia" w:ascii="宋体" w:hAnsi="宋体" w:eastAsia="宋体" w:cs="仿宋_GB2312"/>
                <w:sz w:val="22"/>
                <w:szCs w:val="22"/>
                <w:lang w:val="en-US" w:eastAsia="zh-CN"/>
              </w:rPr>
              <w:t>供应商2023年至今具有医院同类宣传制品或宣传标识系统项目业绩</w:t>
            </w:r>
            <w:r>
              <w:rPr>
                <w:rFonts w:hint="eastAsia" w:ascii="宋体" w:hAnsi="宋体" w:eastAsia="宋体" w:cs="仿宋_GB2312"/>
                <w:sz w:val="22"/>
                <w:szCs w:val="22"/>
                <w:lang w:val="en-GB"/>
              </w:rPr>
              <w:t>，</w:t>
            </w:r>
            <w:r>
              <w:rPr>
                <w:rFonts w:hint="eastAsia" w:ascii="宋体" w:hAnsi="宋体" w:cs="仿宋_GB2312"/>
                <w:sz w:val="22"/>
                <w:szCs w:val="22"/>
                <w:lang w:val="en-GB"/>
              </w:rPr>
              <w:t>每提供一个业绩得</w:t>
            </w:r>
            <w:r>
              <w:rPr>
                <w:rFonts w:ascii="宋体" w:hAnsi="宋体" w:cs="仿宋_GB2312"/>
                <w:sz w:val="22"/>
                <w:szCs w:val="22"/>
                <w:lang w:val="en-GB"/>
              </w:rPr>
              <w:t>2</w:t>
            </w:r>
            <w:r>
              <w:rPr>
                <w:rFonts w:hint="eastAsia" w:ascii="宋体" w:hAnsi="宋体" w:cs="仿宋_GB2312"/>
                <w:sz w:val="22"/>
                <w:szCs w:val="22"/>
                <w:lang w:val="en-GB"/>
              </w:rPr>
              <w:t>分，最多得</w:t>
            </w:r>
            <w:r>
              <w:rPr>
                <w:rFonts w:ascii="宋体" w:hAnsi="宋体" w:cs="仿宋_GB2312"/>
                <w:sz w:val="22"/>
                <w:szCs w:val="22"/>
                <w:lang w:val="en-GB"/>
              </w:rPr>
              <w:t>10</w:t>
            </w:r>
            <w:r>
              <w:rPr>
                <w:rFonts w:hint="eastAsia" w:ascii="宋体" w:hAnsi="宋体" w:cs="仿宋_GB2312"/>
                <w:sz w:val="22"/>
                <w:szCs w:val="22"/>
                <w:lang w:val="en-GB"/>
              </w:rPr>
              <w:t xml:space="preserve"> 分。</w:t>
            </w:r>
          </w:p>
          <w:p w14:paraId="56199A1B">
            <w:pPr>
              <w:snapToGrid w:val="0"/>
              <w:rPr>
                <w:rFonts w:hint="eastAsia" w:ascii="宋体" w:hAnsi="宋体" w:cs="仿宋_GB2312"/>
                <w:sz w:val="22"/>
                <w:szCs w:val="22"/>
                <w:lang w:val="en-GB"/>
              </w:rPr>
            </w:pPr>
            <w:r>
              <w:rPr>
                <w:rFonts w:hint="eastAsia" w:ascii="宋体" w:hAnsi="宋体" w:cs="仿宋_GB2312"/>
                <w:sz w:val="22"/>
                <w:szCs w:val="22"/>
                <w:lang w:val="en-GB"/>
              </w:rPr>
              <w:t>（响应文件中提供业绩清单汇总表以及合同关键页复印件作证明，无提供不得分）（同一客户不重复计分）</w:t>
            </w:r>
          </w:p>
        </w:tc>
        <w:tc>
          <w:tcPr>
            <w:tcW w:w="739" w:type="dxa"/>
            <w:tcBorders>
              <w:top w:val="single" w:color="auto" w:sz="4" w:space="0"/>
              <w:left w:val="single" w:color="auto" w:sz="4" w:space="0"/>
              <w:bottom w:val="single" w:color="auto" w:sz="4" w:space="0"/>
              <w:right w:val="single" w:color="auto" w:sz="4" w:space="0"/>
            </w:tcBorders>
            <w:noWrap w:val="0"/>
            <w:vAlign w:val="center"/>
          </w:tcPr>
          <w:p w14:paraId="19362D75">
            <w:pPr>
              <w:snapToGrid w:val="0"/>
              <w:jc w:val="center"/>
              <w:rPr>
                <w:rFonts w:hint="default" w:ascii="宋体" w:hAnsi="宋体" w:cs="仿宋_GB2312"/>
                <w:sz w:val="22"/>
                <w:szCs w:val="22"/>
                <w:lang w:val="en-US" w:eastAsia="zh-CN"/>
              </w:rPr>
            </w:pPr>
            <w:r>
              <w:rPr>
                <w:rFonts w:hint="eastAsia" w:ascii="宋体" w:hAnsi="宋体" w:cs="仿宋_GB2312"/>
                <w:sz w:val="22"/>
                <w:szCs w:val="22"/>
                <w:lang w:val="en-US" w:eastAsia="zh-CN"/>
              </w:rPr>
              <w:t>20</w:t>
            </w:r>
          </w:p>
        </w:tc>
      </w:tr>
      <w:tr w14:paraId="2D94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21" w:type="dxa"/>
            <w:tcBorders>
              <w:top w:val="single" w:color="auto" w:sz="4" w:space="0"/>
              <w:left w:val="single" w:color="auto" w:sz="4" w:space="0"/>
              <w:bottom w:val="single" w:color="auto" w:sz="4" w:space="0"/>
              <w:right w:val="single" w:color="auto" w:sz="4" w:space="0"/>
            </w:tcBorders>
            <w:noWrap w:val="0"/>
            <w:vAlign w:val="center"/>
          </w:tcPr>
          <w:p w14:paraId="502572E9">
            <w:pPr>
              <w:widowControl/>
              <w:jc w:val="center"/>
              <w:rPr>
                <w:rFonts w:hint="eastAsia" w:ascii="宋体" w:hAnsi="宋体" w:cs="宋体"/>
                <w:kern w:val="0"/>
                <w:sz w:val="22"/>
                <w:szCs w:val="22"/>
              </w:rPr>
            </w:pPr>
            <w:r>
              <w:rPr>
                <w:rFonts w:ascii="宋体" w:hAnsi="宋体" w:cs="宋体"/>
                <w:kern w:val="0"/>
                <w:sz w:val="22"/>
                <w:szCs w:val="22"/>
              </w:rPr>
              <w:t>2</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7B93985E">
            <w:pPr>
              <w:widowControl/>
              <w:jc w:val="center"/>
              <w:rPr>
                <w:rFonts w:hint="eastAsia" w:ascii="宋体" w:hAnsi="宋体" w:cs="宋体"/>
                <w:kern w:val="0"/>
                <w:sz w:val="22"/>
                <w:szCs w:val="22"/>
              </w:rPr>
            </w:pPr>
            <w:r>
              <w:rPr>
                <w:rFonts w:hint="eastAsia" w:ascii="宋体" w:hAnsi="宋体"/>
                <w:sz w:val="22"/>
                <w:szCs w:val="22"/>
              </w:rPr>
              <w:t>服</w:t>
            </w:r>
            <w:bookmarkStart w:id="0" w:name="_GoBack"/>
            <w:bookmarkEnd w:id="0"/>
            <w:r>
              <w:rPr>
                <w:rFonts w:hint="eastAsia" w:ascii="宋体" w:hAnsi="宋体"/>
                <w:sz w:val="22"/>
                <w:szCs w:val="22"/>
              </w:rPr>
              <w:t>务便利性</w:t>
            </w:r>
          </w:p>
        </w:tc>
        <w:tc>
          <w:tcPr>
            <w:tcW w:w="6377" w:type="dxa"/>
            <w:gridSpan w:val="2"/>
            <w:tcBorders>
              <w:top w:val="single" w:color="auto" w:sz="4" w:space="0"/>
              <w:left w:val="single" w:color="auto" w:sz="4" w:space="0"/>
              <w:bottom w:val="single" w:color="auto" w:sz="4" w:space="0"/>
              <w:right w:val="single" w:color="auto" w:sz="4" w:space="0"/>
            </w:tcBorders>
            <w:noWrap w:val="0"/>
            <w:vAlign w:val="center"/>
          </w:tcPr>
          <w:p w14:paraId="400651E2">
            <w:pPr>
              <w:pStyle w:val="8"/>
              <w:spacing w:line="340" w:lineRule="exact"/>
              <w:ind w:left="1" w:firstLine="0" w:firstLineChars="0"/>
              <w:rPr>
                <w:rFonts w:hint="eastAsia" w:ascii="宋体" w:eastAsia="宋体"/>
                <w:sz w:val="22"/>
                <w:szCs w:val="22"/>
              </w:rPr>
            </w:pPr>
            <w:r>
              <w:rPr>
                <w:rFonts w:hint="eastAsia" w:ascii="宋体" w:eastAsia="宋体"/>
                <w:sz w:val="22"/>
                <w:szCs w:val="22"/>
              </w:rPr>
              <w:t>根据各供应商办公地点或者售后服务机构至服务地点响应到达时间评比：</w:t>
            </w:r>
          </w:p>
          <w:p w14:paraId="28BADB81">
            <w:pPr>
              <w:pStyle w:val="8"/>
              <w:spacing w:line="340" w:lineRule="exact"/>
              <w:ind w:firstLine="0" w:firstLineChars="0"/>
              <w:rPr>
                <w:rFonts w:hint="eastAsia" w:ascii="宋体" w:eastAsia="宋体"/>
                <w:sz w:val="22"/>
                <w:szCs w:val="22"/>
              </w:rPr>
            </w:pPr>
            <w:r>
              <w:rPr>
                <w:rFonts w:hint="eastAsia" w:ascii="宋体" w:eastAsia="宋体"/>
                <w:sz w:val="22"/>
                <w:szCs w:val="22"/>
              </w:rPr>
              <w:t>优：响应到达时间≤2个小时，得</w:t>
            </w:r>
            <w:r>
              <w:rPr>
                <w:rFonts w:ascii="宋体" w:eastAsia="宋体"/>
                <w:sz w:val="22"/>
                <w:szCs w:val="22"/>
              </w:rPr>
              <w:t>5</w:t>
            </w:r>
            <w:r>
              <w:rPr>
                <w:rFonts w:hint="eastAsia" w:ascii="宋体" w:eastAsia="宋体"/>
                <w:sz w:val="22"/>
                <w:szCs w:val="22"/>
              </w:rPr>
              <w:t xml:space="preserve">分； </w:t>
            </w:r>
          </w:p>
          <w:p w14:paraId="505E6413">
            <w:pPr>
              <w:pStyle w:val="8"/>
              <w:spacing w:line="340" w:lineRule="exact"/>
              <w:ind w:firstLine="0" w:firstLineChars="0"/>
              <w:rPr>
                <w:rFonts w:hint="eastAsia" w:ascii="宋体" w:eastAsia="宋体"/>
                <w:sz w:val="22"/>
                <w:szCs w:val="22"/>
              </w:rPr>
            </w:pPr>
            <w:r>
              <w:rPr>
                <w:rFonts w:hint="eastAsia" w:ascii="宋体" w:eastAsia="宋体"/>
                <w:sz w:val="22"/>
                <w:szCs w:val="22"/>
              </w:rPr>
              <w:t>良：2个小时＜响应到达时间≤3个小时，得</w:t>
            </w:r>
            <w:r>
              <w:rPr>
                <w:rFonts w:ascii="宋体" w:eastAsia="宋体"/>
                <w:sz w:val="22"/>
                <w:szCs w:val="22"/>
              </w:rPr>
              <w:t>3</w:t>
            </w:r>
            <w:r>
              <w:rPr>
                <w:rFonts w:hint="eastAsia" w:ascii="宋体" w:eastAsia="宋体"/>
                <w:sz w:val="22"/>
                <w:szCs w:val="22"/>
              </w:rPr>
              <w:t>分；</w:t>
            </w:r>
          </w:p>
          <w:p w14:paraId="7C9037B1">
            <w:pPr>
              <w:pStyle w:val="8"/>
              <w:spacing w:line="340" w:lineRule="exact"/>
              <w:ind w:firstLine="0" w:firstLineChars="0"/>
              <w:rPr>
                <w:rFonts w:hint="eastAsia" w:ascii="宋体" w:eastAsia="宋体"/>
                <w:sz w:val="22"/>
                <w:szCs w:val="22"/>
              </w:rPr>
            </w:pPr>
            <w:r>
              <w:rPr>
                <w:rFonts w:hint="eastAsia" w:ascii="宋体" w:eastAsia="宋体"/>
                <w:sz w:val="22"/>
                <w:szCs w:val="22"/>
              </w:rPr>
              <w:t>中：3个小时＜响应到达时间≤5个小时，得1分；</w:t>
            </w:r>
          </w:p>
          <w:p w14:paraId="2827CAC5">
            <w:pPr>
              <w:pStyle w:val="8"/>
              <w:spacing w:line="340" w:lineRule="exact"/>
              <w:ind w:firstLine="0" w:firstLineChars="0"/>
              <w:rPr>
                <w:rFonts w:hint="eastAsia" w:ascii="宋体" w:eastAsia="宋体"/>
                <w:sz w:val="22"/>
                <w:szCs w:val="22"/>
              </w:rPr>
            </w:pPr>
            <w:r>
              <w:rPr>
                <w:rFonts w:hint="eastAsia" w:ascii="宋体" w:eastAsia="宋体"/>
                <w:sz w:val="22"/>
                <w:szCs w:val="22"/>
              </w:rPr>
              <w:t>差：响应到达时间在5个小时以上或未提供响应时间的，得0分。</w:t>
            </w:r>
          </w:p>
          <w:p w14:paraId="09FC1D99">
            <w:pPr>
              <w:widowControl/>
              <w:rPr>
                <w:rFonts w:hint="eastAsia" w:ascii="宋体" w:hAnsi="宋体" w:cs="宋体"/>
                <w:kern w:val="0"/>
                <w:sz w:val="22"/>
                <w:szCs w:val="22"/>
              </w:rPr>
            </w:pPr>
            <w:r>
              <w:rPr>
                <w:rFonts w:hint="eastAsia" w:ascii="宋体" w:hAnsi="宋体"/>
                <w:sz w:val="22"/>
                <w:szCs w:val="22"/>
              </w:rPr>
              <w:t>（供应商需提供承诺函并加盖公章，无不得分）</w:t>
            </w:r>
          </w:p>
        </w:tc>
        <w:tc>
          <w:tcPr>
            <w:tcW w:w="739" w:type="dxa"/>
            <w:tcBorders>
              <w:top w:val="single" w:color="auto" w:sz="4" w:space="0"/>
              <w:left w:val="single" w:color="auto" w:sz="4" w:space="0"/>
              <w:bottom w:val="single" w:color="auto" w:sz="4" w:space="0"/>
              <w:right w:val="single" w:color="auto" w:sz="4" w:space="0"/>
            </w:tcBorders>
            <w:noWrap w:val="0"/>
            <w:vAlign w:val="center"/>
          </w:tcPr>
          <w:p w14:paraId="515E9AF7">
            <w:pPr>
              <w:widowControl/>
              <w:jc w:val="center"/>
              <w:rPr>
                <w:rFonts w:hint="eastAsia" w:ascii="宋体" w:hAnsi="宋体" w:cs="宋体"/>
                <w:kern w:val="0"/>
                <w:sz w:val="22"/>
                <w:szCs w:val="22"/>
              </w:rPr>
            </w:pPr>
            <w:r>
              <w:rPr>
                <w:rFonts w:ascii="宋体" w:hAnsi="宋体" w:cs="宋体"/>
                <w:kern w:val="0"/>
                <w:sz w:val="22"/>
                <w:szCs w:val="22"/>
              </w:rPr>
              <w:t>5</w:t>
            </w:r>
          </w:p>
        </w:tc>
      </w:tr>
      <w:tr w14:paraId="0F4E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8842"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0BD778EA">
            <w:pPr>
              <w:spacing w:line="400" w:lineRule="exact"/>
              <w:jc w:val="center"/>
              <w:rPr>
                <w:rFonts w:hint="eastAsia" w:ascii="宋体" w:hAnsi="宋体" w:cs="Calibri"/>
                <w:b/>
                <w:bCs/>
                <w:sz w:val="22"/>
                <w:szCs w:val="22"/>
              </w:rPr>
            </w:pPr>
            <w:r>
              <w:rPr>
                <w:rFonts w:hint="eastAsia" w:ascii="宋体" w:hAnsi="宋体"/>
                <w:b/>
                <w:bCs/>
                <w:sz w:val="22"/>
                <w:szCs w:val="22"/>
              </w:rPr>
              <w:t>合计</w:t>
            </w:r>
          </w:p>
        </w:tc>
        <w:tc>
          <w:tcPr>
            <w:tcW w:w="870" w:type="dxa"/>
            <w:gridSpan w:val="2"/>
            <w:tcBorders>
              <w:top w:val="single" w:color="auto" w:sz="4" w:space="0"/>
              <w:left w:val="single" w:color="auto" w:sz="4" w:space="0"/>
              <w:bottom w:val="single" w:color="auto" w:sz="4" w:space="0"/>
              <w:right w:val="single" w:color="auto" w:sz="4" w:space="0"/>
            </w:tcBorders>
            <w:shd w:val="clear" w:color="auto" w:fill="D9D9D9"/>
            <w:noWrap w:val="0"/>
            <w:vAlign w:val="center"/>
          </w:tcPr>
          <w:p w14:paraId="0119AE46">
            <w:pPr>
              <w:spacing w:line="360" w:lineRule="auto"/>
              <w:jc w:val="center"/>
              <w:rPr>
                <w:rFonts w:hint="eastAsia" w:ascii="宋体" w:hAnsi="宋体"/>
                <w:b/>
                <w:bCs/>
                <w:sz w:val="22"/>
                <w:szCs w:val="22"/>
              </w:rPr>
            </w:pPr>
            <w:r>
              <w:rPr>
                <w:rFonts w:hint="eastAsia" w:ascii="宋体" w:hAnsi="宋体"/>
                <w:b/>
                <w:bCs/>
                <w:sz w:val="22"/>
                <w:szCs w:val="22"/>
                <w:lang w:val="en-US" w:eastAsia="zh-CN"/>
              </w:rPr>
              <w:t>25</w:t>
            </w:r>
            <w:r>
              <w:rPr>
                <w:rFonts w:hint="eastAsia" w:ascii="宋体" w:hAnsi="宋体"/>
                <w:b/>
                <w:bCs/>
                <w:sz w:val="22"/>
                <w:szCs w:val="22"/>
              </w:rPr>
              <w:t>分</w:t>
            </w:r>
          </w:p>
        </w:tc>
      </w:tr>
    </w:tbl>
    <w:p w14:paraId="6B123CFA">
      <w:pPr>
        <w:pStyle w:val="2"/>
        <w:tabs>
          <w:tab w:val="left" w:pos="7740"/>
        </w:tabs>
        <w:ind w:firstLine="0"/>
        <w:rPr>
          <w:rFonts w:hint="eastAsia" w:ascii="宋体" w:hAnsi="宋体" w:cs="宋体"/>
          <w:szCs w:val="22"/>
        </w:rPr>
      </w:pPr>
    </w:p>
    <w:p w14:paraId="30247EBE">
      <w:pPr>
        <w:pStyle w:val="2"/>
        <w:tabs>
          <w:tab w:val="left" w:pos="7740"/>
        </w:tabs>
        <w:ind w:firstLineChars="200"/>
        <w:rPr>
          <w:rFonts w:hint="eastAsia" w:ascii="宋体" w:hAnsi="宋体" w:cs="宋体"/>
          <w:sz w:val="22"/>
          <w:szCs w:val="22"/>
        </w:rPr>
      </w:pPr>
      <w:r>
        <w:rPr>
          <w:rFonts w:hint="eastAsia" w:ascii="宋体" w:hAnsi="宋体" w:cs="宋体"/>
          <w:sz w:val="22"/>
          <w:szCs w:val="22"/>
        </w:rPr>
        <w:t xml:space="preserve"> </w:t>
      </w:r>
    </w:p>
    <w:tbl>
      <w:tblPr>
        <w:tblStyle w:val="4"/>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900"/>
        <w:gridCol w:w="7380"/>
      </w:tblGrid>
      <w:tr w14:paraId="3AFA6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9468" w:type="dxa"/>
            <w:gridSpan w:val="3"/>
            <w:tcBorders>
              <w:top w:val="single" w:color="auto" w:sz="4" w:space="0"/>
              <w:left w:val="single" w:color="auto" w:sz="4" w:space="0"/>
              <w:bottom w:val="single" w:color="auto" w:sz="4" w:space="0"/>
              <w:right w:val="single" w:color="auto" w:sz="4" w:space="0"/>
            </w:tcBorders>
            <w:shd w:val="clear" w:color="auto" w:fill="D9D9D9"/>
            <w:noWrap w:val="0"/>
            <w:vAlign w:val="center"/>
          </w:tcPr>
          <w:p w14:paraId="01747798">
            <w:pPr>
              <w:pStyle w:val="2"/>
              <w:ind w:firstLine="0"/>
              <w:jc w:val="center"/>
              <w:rPr>
                <w:rFonts w:hint="default" w:ascii="宋体" w:hAnsi="宋体" w:eastAsia="宋体"/>
                <w:b/>
                <w:sz w:val="22"/>
                <w:szCs w:val="22"/>
                <w:lang w:val="en-US" w:eastAsia="zh-CN"/>
              </w:rPr>
            </w:pPr>
            <w:r>
              <w:rPr>
                <w:rFonts w:hint="eastAsia" w:ascii="宋体" w:hAnsi="宋体"/>
                <w:b/>
                <w:sz w:val="22"/>
                <w:szCs w:val="22"/>
                <w:lang w:val="en-US" w:eastAsia="zh-CN"/>
              </w:rPr>
              <w:t>三、价格评分</w:t>
            </w:r>
          </w:p>
        </w:tc>
      </w:tr>
      <w:tr w14:paraId="4D7D1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88"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05B2F195">
            <w:pPr>
              <w:pStyle w:val="2"/>
              <w:ind w:firstLine="0"/>
              <w:jc w:val="center"/>
              <w:rPr>
                <w:rFonts w:hint="eastAsia" w:ascii="宋体" w:hAnsi="宋体" w:cs="宋体"/>
                <w:b/>
                <w:kern w:val="0"/>
                <w:sz w:val="22"/>
                <w:szCs w:val="22"/>
              </w:rPr>
            </w:pPr>
            <w:r>
              <w:rPr>
                <w:rFonts w:hint="eastAsia" w:ascii="宋体" w:hAnsi="宋体"/>
                <w:b/>
                <w:sz w:val="22"/>
                <w:szCs w:val="22"/>
              </w:rPr>
              <w:t>评审项目</w:t>
            </w:r>
          </w:p>
        </w:tc>
        <w:tc>
          <w:tcPr>
            <w:tcW w:w="900"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18BAF87F">
            <w:pPr>
              <w:pStyle w:val="2"/>
              <w:ind w:firstLine="0"/>
              <w:jc w:val="center"/>
              <w:rPr>
                <w:rFonts w:hint="eastAsia" w:ascii="宋体" w:hAnsi="宋体" w:cs="Calibri"/>
                <w:b/>
                <w:sz w:val="22"/>
                <w:szCs w:val="22"/>
              </w:rPr>
            </w:pPr>
            <w:r>
              <w:rPr>
                <w:rFonts w:hint="eastAsia" w:ascii="宋体" w:hAnsi="宋体"/>
                <w:b/>
                <w:sz w:val="22"/>
                <w:szCs w:val="22"/>
              </w:rPr>
              <w:t>分值</w:t>
            </w:r>
          </w:p>
        </w:tc>
        <w:tc>
          <w:tcPr>
            <w:tcW w:w="7380" w:type="dxa"/>
            <w:tcBorders>
              <w:top w:val="single" w:color="auto" w:sz="4" w:space="0"/>
              <w:left w:val="single" w:color="auto" w:sz="4" w:space="0"/>
              <w:bottom w:val="single" w:color="auto" w:sz="4" w:space="0"/>
              <w:right w:val="single" w:color="auto" w:sz="4" w:space="0"/>
            </w:tcBorders>
            <w:shd w:val="clear" w:color="auto" w:fill="D9D9D9"/>
            <w:noWrap w:val="0"/>
            <w:vAlign w:val="center"/>
          </w:tcPr>
          <w:p w14:paraId="1689E2D8">
            <w:pPr>
              <w:pStyle w:val="2"/>
              <w:ind w:firstLine="0"/>
              <w:jc w:val="center"/>
              <w:rPr>
                <w:rFonts w:hint="eastAsia" w:ascii="宋体" w:hAnsi="宋体"/>
                <w:b/>
                <w:sz w:val="22"/>
                <w:szCs w:val="22"/>
              </w:rPr>
            </w:pPr>
            <w:r>
              <w:rPr>
                <w:rFonts w:hint="eastAsia" w:ascii="宋体" w:hAnsi="宋体"/>
                <w:b/>
                <w:sz w:val="22"/>
                <w:szCs w:val="22"/>
              </w:rPr>
              <w:t>评分细则</w:t>
            </w:r>
          </w:p>
        </w:tc>
      </w:tr>
      <w:tr w14:paraId="648F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188" w:type="dxa"/>
            <w:tcBorders>
              <w:top w:val="single" w:color="auto" w:sz="4" w:space="0"/>
              <w:left w:val="single" w:color="auto" w:sz="4" w:space="0"/>
              <w:bottom w:val="single" w:color="auto" w:sz="4" w:space="0"/>
              <w:right w:val="single" w:color="auto" w:sz="4" w:space="0"/>
            </w:tcBorders>
            <w:noWrap w:val="0"/>
            <w:vAlign w:val="center"/>
          </w:tcPr>
          <w:p w14:paraId="39B5EC6E">
            <w:pPr>
              <w:pStyle w:val="2"/>
              <w:ind w:firstLine="0"/>
              <w:jc w:val="center"/>
              <w:rPr>
                <w:rFonts w:hint="eastAsia" w:ascii="宋体" w:hAnsi="宋体" w:eastAsia="宋体" w:cs="Times New Roman"/>
                <w:kern w:val="2"/>
                <w:sz w:val="22"/>
                <w:szCs w:val="22"/>
                <w:lang w:val="en-US" w:eastAsia="zh-CN" w:bidi="ar-SA"/>
              </w:rPr>
            </w:pPr>
            <w:r>
              <w:rPr>
                <w:rFonts w:hint="eastAsia" w:ascii="宋体" w:hAnsi="宋体" w:eastAsia="宋体" w:cs="Times New Roman"/>
                <w:kern w:val="2"/>
                <w:sz w:val="22"/>
                <w:szCs w:val="22"/>
                <w:lang w:val="en-US" w:eastAsia="zh-CN" w:bidi="ar-SA"/>
              </w:rPr>
              <w:t>价格</w:t>
            </w:r>
          </w:p>
        </w:tc>
        <w:tc>
          <w:tcPr>
            <w:tcW w:w="900" w:type="dxa"/>
            <w:tcBorders>
              <w:top w:val="single" w:color="auto" w:sz="4" w:space="0"/>
              <w:left w:val="single" w:color="auto" w:sz="4" w:space="0"/>
              <w:bottom w:val="single" w:color="auto" w:sz="4" w:space="0"/>
              <w:right w:val="single" w:color="auto" w:sz="4" w:space="0"/>
            </w:tcBorders>
            <w:noWrap w:val="0"/>
            <w:vAlign w:val="center"/>
          </w:tcPr>
          <w:p w14:paraId="28886F2E">
            <w:pPr>
              <w:pStyle w:val="2"/>
              <w:ind w:firstLine="0"/>
              <w:jc w:val="center"/>
              <w:rPr>
                <w:rFonts w:hint="default" w:ascii="宋体" w:hAnsi="宋体" w:eastAsia="宋体" w:cs="Times New Roman"/>
                <w:kern w:val="2"/>
                <w:sz w:val="22"/>
                <w:szCs w:val="22"/>
                <w:lang w:val="en-US" w:eastAsia="zh-CN" w:bidi="ar-SA"/>
              </w:rPr>
            </w:pPr>
            <w:r>
              <w:rPr>
                <w:rFonts w:hint="eastAsia" w:ascii="宋体" w:hAnsi="宋体" w:eastAsia="宋体" w:cs="Times New Roman"/>
                <w:kern w:val="2"/>
                <w:sz w:val="22"/>
                <w:szCs w:val="22"/>
                <w:lang w:val="en-US" w:eastAsia="zh-CN" w:bidi="ar-SA"/>
              </w:rPr>
              <w:t>20</w:t>
            </w:r>
          </w:p>
        </w:tc>
        <w:tc>
          <w:tcPr>
            <w:tcW w:w="7380" w:type="dxa"/>
            <w:tcBorders>
              <w:top w:val="single" w:color="auto" w:sz="4" w:space="0"/>
              <w:left w:val="single" w:color="auto" w:sz="4" w:space="0"/>
              <w:bottom w:val="single" w:color="auto" w:sz="4" w:space="0"/>
              <w:right w:val="single" w:color="auto" w:sz="4" w:space="0"/>
            </w:tcBorders>
            <w:noWrap w:val="0"/>
            <w:vAlign w:val="center"/>
          </w:tcPr>
          <w:p w14:paraId="0DA12F1F">
            <w:pPr>
              <w:pStyle w:val="2"/>
              <w:ind w:firstLine="0"/>
              <w:rPr>
                <w:rFonts w:hint="eastAsia" w:ascii="宋体" w:hAnsi="宋体" w:eastAsia="宋体" w:cs="Times New Roman"/>
                <w:kern w:val="2"/>
                <w:sz w:val="22"/>
                <w:szCs w:val="22"/>
                <w:lang w:val="en-US" w:eastAsia="zh-CN" w:bidi="ar-SA"/>
              </w:rPr>
            </w:pPr>
            <w:r>
              <w:rPr>
                <w:rFonts w:hint="eastAsia" w:ascii="宋体" w:hAnsi="宋体" w:eastAsia="宋体" w:cs="Times New Roman"/>
                <w:kern w:val="2"/>
                <w:sz w:val="22"/>
                <w:szCs w:val="22"/>
                <w:lang w:val="en-US" w:eastAsia="zh-CN" w:bidi="ar-SA"/>
              </w:rPr>
              <w:t>价格分是以满足采购文件要求且最低的报价为评审基准价，其他供应商的价格分则按比例算出。</w:t>
            </w:r>
          </w:p>
          <w:p w14:paraId="22AC8CEC">
            <w:pPr>
              <w:pStyle w:val="2"/>
              <w:ind w:firstLine="0"/>
              <w:rPr>
                <w:rFonts w:hint="eastAsia" w:ascii="宋体" w:hAnsi="宋体" w:eastAsia="宋体" w:cs="Times New Roman"/>
                <w:kern w:val="2"/>
                <w:sz w:val="22"/>
                <w:szCs w:val="22"/>
                <w:lang w:val="en-US" w:eastAsia="zh-CN" w:bidi="ar-SA"/>
              </w:rPr>
            </w:pPr>
            <w:r>
              <w:rPr>
                <w:rFonts w:hint="eastAsia" w:ascii="宋体" w:hAnsi="宋体" w:eastAsia="宋体" w:cs="Times New Roman"/>
                <w:kern w:val="2"/>
                <w:sz w:val="22"/>
                <w:szCs w:val="22"/>
                <w:lang w:val="en-US" w:eastAsia="zh-CN" w:bidi="ar-SA"/>
              </w:rPr>
              <w:t>价格分＝(评审基准价/报价)×20</w:t>
            </w:r>
          </w:p>
        </w:tc>
      </w:tr>
    </w:tbl>
    <w:p w14:paraId="1C7B9DB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3C26EF"/>
    <w:rsid w:val="0A034232"/>
    <w:rsid w:val="150123CC"/>
    <w:rsid w:val="3B3D08D7"/>
    <w:rsid w:val="463C26EF"/>
    <w:rsid w:val="501569BD"/>
    <w:rsid w:val="548E1DEE"/>
    <w:rsid w:val="5B4431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annotation text"/>
    <w:basedOn w:val="1"/>
    <w:qFormat/>
    <w:uiPriority w:val="0"/>
    <w:pPr>
      <w:jc w:val="left"/>
    </w:pPr>
  </w:style>
  <w:style w:type="character" w:styleId="6">
    <w:name w:val="Strong"/>
    <w:qFormat/>
    <w:uiPriority w:val="0"/>
    <w:rPr>
      <w:b/>
      <w:bCs/>
    </w:rPr>
  </w:style>
  <w:style w:type="character" w:styleId="7">
    <w:name w:val="annotation reference"/>
    <w:qFormat/>
    <w:uiPriority w:val="0"/>
    <w:rPr>
      <w:sz w:val="21"/>
      <w:szCs w:val="21"/>
    </w:rPr>
  </w:style>
  <w:style w:type="paragraph" w:customStyle="1" w:styleId="8">
    <w:name w:val="正文缩进2格"/>
    <w:basedOn w:val="1"/>
    <w:qFormat/>
    <w:uiPriority w:val="0"/>
    <w:pPr>
      <w:spacing w:line="600" w:lineRule="exact"/>
      <w:ind w:firstLine="639" w:firstLineChars="206"/>
    </w:pPr>
    <w:rPr>
      <w:rFonts w:ascii="仿宋_GB2312" w:hAnsi="宋体" w:eastAsia="仿宋_GB2312"/>
      <w:sz w:val="31"/>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1220</Words>
  <Characters>1242</Characters>
  <Lines>0</Lines>
  <Paragraphs>0</Paragraphs>
  <TotalTime>1</TotalTime>
  <ScaleCrop>false</ScaleCrop>
  <LinksUpToDate>false</LinksUpToDate>
  <CharactersWithSpaces>1245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2026-06-23T07:08:00Z</dcterms:created>
  <dc:creator>蔡爱英</dc:creator>
  <cp:lastModifiedBy>蔡爱英</cp:lastModifiedBy>
  <dcterms:modified xsi:type="dcterms:W3CDTF">2026-06-26T03:27:04Z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EF79056927F2448F87C17E7B44D61BFF_11</vt:lpwstr>
  </property>
  <property fmtid="{D5CDD505-2E9C-101B-9397-08002B2CF9AE}" pid="4" name="KSOTemplateDocerSaveRecord">
    <vt:lpwstr>eyJoZGlkIjoiZjMyZTNhNTFmZWNlMTJjN2QzOGMzZTg4NThhYzUwODciLCJ1c2VySWQiOiIxNzczMTc4ODk2In0=</vt:lpwstr>
  </property>
</Properties>
</file>