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1DDEE">
      <w:pPr>
        <w:pStyle w:val="2"/>
        <w:jc w:val="center"/>
        <w:rPr>
          <w:rFonts w:hint="eastAsia" w:ascii="黑体" w:hAnsi="黑体" w:eastAsia="黑体"/>
          <w:b w:val="0"/>
          <w:bCs w:val="0"/>
          <w:sz w:val="48"/>
          <w:szCs w:val="48"/>
          <w:lang w:val="en-US" w:eastAsia="zh-CN"/>
        </w:rPr>
      </w:pPr>
      <w:bookmarkStart w:id="0" w:name="_GoBack"/>
      <w:r>
        <w:rPr>
          <w:rFonts w:hint="eastAsia" w:ascii="黑体" w:hAnsi="黑体" w:eastAsia="黑体"/>
          <w:b w:val="0"/>
          <w:bCs w:val="0"/>
          <w:sz w:val="48"/>
          <w:szCs w:val="48"/>
        </w:rPr>
        <w:t>广东省公共卫生医学中心</w:t>
      </w:r>
    </w:p>
    <w:p w14:paraId="7C085FA5">
      <w:pPr>
        <w:pStyle w:val="2"/>
        <w:jc w:val="center"/>
        <w:rPr>
          <w:rFonts w:hint="eastAsia" w:ascii="黑体" w:hAnsi="黑体" w:eastAsia="黑体"/>
          <w:b w:val="0"/>
          <w:bCs w:val="0"/>
          <w:sz w:val="48"/>
          <w:szCs w:val="48"/>
        </w:rPr>
      </w:pPr>
      <w:r>
        <w:rPr>
          <w:rFonts w:hint="eastAsia" w:ascii="黑体" w:hAnsi="黑体" w:eastAsia="黑体"/>
          <w:b w:val="0"/>
          <w:bCs w:val="0"/>
          <w:sz w:val="48"/>
          <w:szCs w:val="48"/>
        </w:rPr>
        <w:t>法律顾问</w:t>
      </w:r>
      <w:r>
        <w:rPr>
          <w:rFonts w:hint="eastAsia" w:ascii="黑体" w:hAnsi="黑体" w:eastAsia="黑体"/>
          <w:b w:val="0"/>
          <w:bCs w:val="0"/>
          <w:sz w:val="48"/>
          <w:szCs w:val="48"/>
          <w:lang w:val="en-US" w:eastAsia="zh-CN"/>
        </w:rPr>
        <w:t>服务</w:t>
      </w:r>
      <w:r>
        <w:rPr>
          <w:rFonts w:hint="eastAsia" w:ascii="黑体" w:hAnsi="黑体" w:eastAsia="黑体"/>
          <w:b w:val="0"/>
          <w:bCs w:val="0"/>
          <w:sz w:val="48"/>
          <w:szCs w:val="48"/>
        </w:rPr>
        <w:t>初步需求</w:t>
      </w:r>
    </w:p>
    <w:bookmarkEnd w:id="0"/>
    <w:p w14:paraId="0896563E">
      <w:pPr>
        <w:pStyle w:val="7"/>
        <w:numPr>
          <w:ilvl w:val="0"/>
          <w:numId w:val="1"/>
        </w:numPr>
        <w:ind w:firstLineChars="0"/>
        <w:rPr>
          <w:rFonts w:ascii="仿宋_GB2312" w:eastAsia="仿宋_GB2312"/>
          <w:sz w:val="32"/>
          <w:szCs w:val="32"/>
        </w:rPr>
      </w:pPr>
      <w:r>
        <w:rPr>
          <w:rFonts w:hint="eastAsia" w:ascii="仿宋_GB2312" w:eastAsia="仿宋_GB2312"/>
          <w:sz w:val="32"/>
          <w:szCs w:val="32"/>
        </w:rPr>
        <w:t>基本情况</w:t>
      </w:r>
    </w:p>
    <w:p w14:paraId="4E20BB1C">
      <w:pPr>
        <w:ind w:firstLine="640" w:firstLineChars="200"/>
        <w:rPr>
          <w:rFonts w:hint="eastAsia" w:ascii="仿宋_GB2312" w:eastAsia="仿宋_GB2312"/>
          <w:sz w:val="32"/>
          <w:szCs w:val="32"/>
        </w:rPr>
      </w:pPr>
      <w:r>
        <w:rPr>
          <w:rFonts w:hint="eastAsia" w:ascii="仿宋_GB2312" w:eastAsia="仿宋_GB2312"/>
          <w:sz w:val="32"/>
          <w:szCs w:val="32"/>
        </w:rPr>
        <w:t>项目预算，</w:t>
      </w:r>
      <w:r>
        <w:rPr>
          <w:rFonts w:hint="eastAsia" w:ascii="仿宋_GB2312" w:eastAsia="仿宋_GB2312"/>
          <w:sz w:val="32"/>
          <w:szCs w:val="32"/>
          <w:em w:val="dot"/>
        </w:rPr>
        <w:t>年</w:t>
      </w:r>
      <w:r>
        <w:rPr>
          <w:rFonts w:hint="eastAsia" w:ascii="仿宋_GB2312" w:eastAsia="仿宋_GB2312"/>
          <w:sz w:val="32"/>
          <w:szCs w:val="32"/>
        </w:rPr>
        <w:t>服务费不超过人民币80000元（资金预算来源5万（泗安院区）+3万（天河院区）），建议按年支付，合同签订后30日内支付年度服务费的70%，年中考核合格后支付剩余30%。拟采购服务期限为2年。</w:t>
      </w:r>
    </w:p>
    <w:p w14:paraId="7B0A8390">
      <w:pPr>
        <w:pStyle w:val="7"/>
        <w:numPr>
          <w:ilvl w:val="0"/>
          <w:numId w:val="1"/>
        </w:numPr>
        <w:ind w:firstLineChars="0"/>
        <w:rPr>
          <w:rFonts w:hint="eastAsia" w:ascii="仿宋_GB2312" w:eastAsia="仿宋_GB2312"/>
          <w:sz w:val="32"/>
          <w:szCs w:val="32"/>
        </w:rPr>
      </w:pPr>
      <w:r>
        <w:rPr>
          <w:rFonts w:hint="eastAsia" w:ascii="仿宋_GB2312" w:eastAsia="仿宋_GB2312"/>
          <w:sz w:val="32"/>
          <w:szCs w:val="32"/>
        </w:rPr>
        <w:t>资质要求</w:t>
      </w:r>
    </w:p>
    <w:p w14:paraId="08CBD71A">
      <w:pPr>
        <w:ind w:firstLine="640" w:firstLineChars="200"/>
        <w:rPr>
          <w:rFonts w:hint="eastAsia" w:ascii="仿宋_GB2312" w:eastAsia="仿宋_GB2312"/>
          <w:sz w:val="32"/>
          <w:szCs w:val="32"/>
          <w:lang w:eastAsia="zh-CN"/>
        </w:rPr>
      </w:pPr>
      <w:r>
        <w:rPr>
          <w:rFonts w:hint="eastAsia" w:ascii="仿宋_GB2312" w:eastAsia="仿宋_GB2312"/>
          <w:sz w:val="32"/>
          <w:szCs w:val="32"/>
        </w:rPr>
        <w:t>1、执业资格：指派的服务团队负责人及主要承办律师须持有中华人民共和国律师执业证书，且近三年无行政处罚或行业处分记录</w:t>
      </w:r>
      <w:r>
        <w:rPr>
          <w:rFonts w:hint="eastAsia" w:ascii="仿宋_GB2312" w:eastAsia="仿宋_GB2312"/>
          <w:sz w:val="32"/>
          <w:szCs w:val="32"/>
          <w:lang w:eastAsia="zh-CN"/>
        </w:rPr>
        <w:t>。</w:t>
      </w:r>
    </w:p>
    <w:p w14:paraId="3EF30B64">
      <w:pPr>
        <w:ind w:firstLine="640" w:firstLineChars="200"/>
        <w:rPr>
          <w:rFonts w:hint="eastAsia" w:ascii="仿宋_GB2312" w:eastAsia="仿宋_GB2312"/>
          <w:sz w:val="32"/>
          <w:szCs w:val="32"/>
        </w:rPr>
      </w:pPr>
      <w:r>
        <w:rPr>
          <w:rFonts w:hint="eastAsia" w:ascii="仿宋_GB2312" w:eastAsia="仿宋_GB2312"/>
          <w:sz w:val="32"/>
          <w:szCs w:val="32"/>
        </w:rPr>
        <w:t>2、执业年限：</w:t>
      </w:r>
    </w:p>
    <w:p w14:paraId="2431E376">
      <w:pPr>
        <w:ind w:firstLine="640" w:firstLineChars="200"/>
        <w:rPr>
          <w:rFonts w:hint="eastAsia" w:ascii="仿宋_GB2312" w:eastAsia="仿宋_GB2312"/>
          <w:sz w:val="32"/>
          <w:szCs w:val="32"/>
        </w:rPr>
      </w:pPr>
      <w:r>
        <w:rPr>
          <w:rFonts w:hint="eastAsia" w:ascii="仿宋_GB2312" w:eastAsia="仿宋_GB2312"/>
          <w:sz w:val="32"/>
          <w:szCs w:val="32"/>
        </w:rPr>
        <w:t>（1）团队负责人须具有10年以上执业经验；</w:t>
      </w:r>
    </w:p>
    <w:p w14:paraId="197129C0">
      <w:pPr>
        <w:ind w:firstLine="640" w:firstLineChars="200"/>
        <w:rPr>
          <w:rFonts w:hint="eastAsia" w:ascii="仿宋_GB2312" w:eastAsia="仿宋_GB2312"/>
          <w:sz w:val="32"/>
          <w:szCs w:val="32"/>
        </w:rPr>
      </w:pPr>
      <w:r>
        <w:rPr>
          <w:rFonts w:hint="eastAsia" w:ascii="仿宋_GB2312" w:eastAsia="仿宋_GB2312"/>
          <w:sz w:val="32"/>
          <w:szCs w:val="32"/>
        </w:rPr>
        <w:t>（2）其他服务律师须具有3年以上执业经验。</w:t>
      </w:r>
    </w:p>
    <w:p w14:paraId="255B5903">
      <w:pPr>
        <w:pStyle w:val="7"/>
        <w:ind w:firstLine="640"/>
        <w:rPr>
          <w:rFonts w:hint="eastAsia" w:ascii="仿宋_GB2312" w:eastAsia="仿宋_GB2312"/>
          <w:sz w:val="32"/>
          <w:szCs w:val="32"/>
        </w:rPr>
      </w:pPr>
      <w:r>
        <w:rPr>
          <w:rFonts w:hint="eastAsia" w:ascii="仿宋_GB2312" w:eastAsia="仿宋_GB2312"/>
          <w:sz w:val="32"/>
          <w:szCs w:val="32"/>
        </w:rPr>
        <w:t>3、事务所须在广东省政府采购平台电子卖场供应商库名单中。</w:t>
      </w:r>
    </w:p>
    <w:p w14:paraId="6093D140">
      <w:pPr>
        <w:ind w:firstLine="640" w:firstLineChars="200"/>
        <w:rPr>
          <w:rFonts w:hint="eastAsia" w:ascii="仿宋_GB2312" w:eastAsia="仿宋_GB2312"/>
          <w:sz w:val="32"/>
          <w:szCs w:val="32"/>
        </w:rPr>
      </w:pPr>
      <w:r>
        <w:rPr>
          <w:rFonts w:hint="eastAsia" w:ascii="仿宋_GB2312" w:eastAsia="仿宋_GB2312"/>
          <w:sz w:val="32"/>
          <w:szCs w:val="32"/>
        </w:rPr>
        <w:t>4、相关经验：</w:t>
      </w:r>
    </w:p>
    <w:p w14:paraId="2CFFF705">
      <w:pPr>
        <w:pStyle w:val="7"/>
        <w:ind w:firstLine="640"/>
        <w:rPr>
          <w:rFonts w:hint="eastAsia" w:ascii="仿宋_GB2312" w:eastAsia="仿宋_GB2312"/>
          <w:sz w:val="32"/>
          <w:szCs w:val="32"/>
        </w:rPr>
      </w:pPr>
      <w:r>
        <w:rPr>
          <w:rFonts w:hint="eastAsia" w:ascii="仿宋_GB2312" w:eastAsia="仿宋_GB2312"/>
          <w:sz w:val="32"/>
          <w:szCs w:val="32"/>
        </w:rPr>
        <w:t>（1）熟悉医疗卫生、疾病预防控制领域的法律法规，具有为医疗机构、卫生行政部门或疾控机构提供法律服务的经验（需提供至少2份同类项目业绩证明）；</w:t>
      </w:r>
    </w:p>
    <w:p w14:paraId="068317DC">
      <w:pPr>
        <w:pStyle w:val="7"/>
        <w:ind w:firstLine="640"/>
        <w:rPr>
          <w:rFonts w:hint="eastAsia" w:ascii="仿宋_GB2312" w:eastAsia="仿宋_GB2312"/>
          <w:sz w:val="32"/>
          <w:szCs w:val="32"/>
        </w:rPr>
      </w:pPr>
      <w:r>
        <w:rPr>
          <w:rFonts w:hint="eastAsia" w:ascii="仿宋_GB2312" w:eastAsia="仿宋_GB2312"/>
          <w:sz w:val="32"/>
          <w:szCs w:val="32"/>
        </w:rPr>
        <w:t>（2）熟悉《政府采购法》《招标投标法》及相关实施条例，具有代理政府采购质疑、投诉或行政复议、诉讼的实务经验；</w:t>
      </w:r>
    </w:p>
    <w:p w14:paraId="7C801E21">
      <w:pPr>
        <w:pStyle w:val="7"/>
        <w:ind w:firstLine="640"/>
        <w:rPr>
          <w:rFonts w:hint="eastAsia" w:ascii="仿宋_GB2312" w:eastAsia="仿宋_GB2312"/>
          <w:sz w:val="32"/>
          <w:szCs w:val="32"/>
        </w:rPr>
      </w:pPr>
      <w:r>
        <w:rPr>
          <w:rFonts w:hint="eastAsia" w:ascii="仿宋_GB2312" w:eastAsia="仿宋_GB2312"/>
          <w:sz w:val="32"/>
          <w:szCs w:val="32"/>
        </w:rPr>
        <w:t>（3）具有处理劳动争议、知识产权、医疗纠纷等民事案件的经验。</w:t>
      </w:r>
    </w:p>
    <w:p w14:paraId="28B373C5">
      <w:pPr>
        <w:pStyle w:val="7"/>
        <w:ind w:firstLine="640"/>
        <w:rPr>
          <w:rFonts w:hint="eastAsia" w:ascii="仿宋_GB2312" w:eastAsia="仿宋_GB2312"/>
          <w:sz w:val="32"/>
          <w:szCs w:val="32"/>
        </w:rPr>
      </w:pPr>
      <w:r>
        <w:rPr>
          <w:rFonts w:hint="eastAsia" w:ascii="仿宋_GB2312" w:eastAsia="仿宋_GB2312"/>
          <w:sz w:val="32"/>
          <w:szCs w:val="32"/>
        </w:rPr>
        <w:t>5、团队稳定性：服务期内，未经中心书面同意，不得擅自更换项目负责人及主要服务律师。</w:t>
      </w:r>
    </w:p>
    <w:p w14:paraId="3C7285C2">
      <w:pPr>
        <w:rPr>
          <w:rFonts w:hint="eastAsia" w:ascii="仿宋_GB2312" w:eastAsia="仿宋_GB2312"/>
          <w:b/>
          <w:bCs/>
          <w:sz w:val="32"/>
          <w:szCs w:val="32"/>
        </w:rPr>
      </w:pPr>
      <w:r>
        <w:rPr>
          <w:rFonts w:hint="eastAsia" w:ascii="仿宋_GB2312" w:eastAsia="仿宋_GB2312"/>
          <w:b/>
          <w:bCs/>
          <w:sz w:val="32"/>
          <w:szCs w:val="32"/>
        </w:rPr>
        <w:t>二、具体要求</w:t>
      </w:r>
    </w:p>
    <w:p w14:paraId="6C88DFD9">
      <w:pPr>
        <w:pStyle w:val="7"/>
        <w:ind w:firstLine="640"/>
        <w:rPr>
          <w:rFonts w:hint="eastAsia" w:ascii="仿宋_GB2312" w:eastAsia="仿宋_GB2312"/>
          <w:sz w:val="32"/>
          <w:szCs w:val="32"/>
        </w:rPr>
      </w:pPr>
      <w:r>
        <w:rPr>
          <w:rFonts w:hint="eastAsia" w:ascii="仿宋_GB2312" w:eastAsia="仿宋_GB2312"/>
          <w:sz w:val="32"/>
          <w:szCs w:val="32"/>
        </w:rPr>
        <w:t>1、负责中心各类合同（包括但不限于采购、服务、合作、人事等）的法律审查与修改，确保合同条款合法、完整、风险可控。</w:t>
      </w:r>
    </w:p>
    <w:p w14:paraId="5A008902">
      <w:pPr>
        <w:pStyle w:val="7"/>
        <w:ind w:firstLine="640"/>
        <w:rPr>
          <w:rFonts w:hint="eastAsia" w:ascii="仿宋_GB2312" w:eastAsia="仿宋_GB2312"/>
          <w:sz w:val="32"/>
          <w:szCs w:val="32"/>
        </w:rPr>
      </w:pPr>
      <w:r>
        <w:rPr>
          <w:rFonts w:hint="eastAsia" w:ascii="仿宋_GB2312" w:eastAsia="仿宋_GB2312"/>
          <w:sz w:val="32"/>
          <w:szCs w:val="32"/>
        </w:rPr>
        <w:t>2、参与中心重大项目的论证，就项目合法性、合规性出具书面法律意见；熟悉《政府采购法》及其实施条例等法律法规，为招标采购活动提供全过程法律咨询，并对采购合同及招标文件进行审查修改。</w:t>
      </w:r>
    </w:p>
    <w:p w14:paraId="6194F142">
      <w:pPr>
        <w:pStyle w:val="7"/>
        <w:ind w:firstLine="640"/>
        <w:rPr>
          <w:rFonts w:hint="eastAsia" w:ascii="仿宋_GB2312" w:eastAsia="仿宋_GB2312"/>
          <w:sz w:val="32"/>
          <w:szCs w:val="32"/>
        </w:rPr>
      </w:pPr>
      <w:r>
        <w:rPr>
          <w:rFonts w:hint="eastAsia" w:ascii="仿宋_GB2312" w:eastAsia="仿宋_GB2312"/>
          <w:sz w:val="32"/>
          <w:szCs w:val="32"/>
        </w:rPr>
        <w:t>3、每年为中心职工提供不少于2次法律专题讲座，每次时长不低于2小时，内容应结合中心业务需求（如医疗纠纷、政府采购、合同风险等）。</w:t>
      </w:r>
    </w:p>
    <w:p w14:paraId="29F86185">
      <w:pPr>
        <w:pStyle w:val="7"/>
        <w:ind w:firstLine="640"/>
        <w:rPr>
          <w:rFonts w:hint="eastAsia" w:ascii="仿宋_GB2312" w:eastAsia="仿宋_GB2312"/>
          <w:sz w:val="32"/>
          <w:szCs w:val="32"/>
        </w:rPr>
      </w:pPr>
      <w:r>
        <w:rPr>
          <w:rFonts w:hint="eastAsia" w:ascii="仿宋_GB2312" w:eastAsia="仿宋_GB2312"/>
          <w:sz w:val="32"/>
          <w:szCs w:val="32"/>
        </w:rPr>
        <w:t>4、协助中心与相关政府部门进行法律事务沟通；代理中心参与行政复议、行政诉讼活动。</w:t>
      </w:r>
    </w:p>
    <w:p w14:paraId="38C1FE6A">
      <w:pPr>
        <w:pStyle w:val="7"/>
        <w:ind w:firstLine="640"/>
        <w:rPr>
          <w:rFonts w:hint="eastAsia" w:ascii="仿宋_GB2312" w:eastAsia="仿宋_GB2312"/>
          <w:sz w:val="32"/>
          <w:szCs w:val="32"/>
        </w:rPr>
      </w:pPr>
      <w:r>
        <w:rPr>
          <w:rFonts w:hint="eastAsia" w:ascii="仿宋_GB2312" w:eastAsia="仿宋_GB2312"/>
          <w:sz w:val="32"/>
          <w:szCs w:val="32"/>
        </w:rPr>
        <w:t>5、应中心要求，参加伦理审查会议，就伦理审查涉及的法律问题（如知情同意、隐私保护、受试者权益等）提供法律意见。</w:t>
      </w:r>
    </w:p>
    <w:p w14:paraId="0549ECD9">
      <w:pPr>
        <w:pStyle w:val="7"/>
        <w:ind w:firstLine="640"/>
        <w:rPr>
          <w:rFonts w:hint="eastAsia" w:ascii="仿宋_GB2312" w:eastAsia="仿宋_GB2312"/>
          <w:sz w:val="32"/>
          <w:szCs w:val="32"/>
        </w:rPr>
      </w:pPr>
      <w:r>
        <w:rPr>
          <w:rFonts w:hint="eastAsia" w:ascii="仿宋_GB2312" w:hAnsi="宋体" w:eastAsia="仿宋_GB2312"/>
          <w:sz w:val="32"/>
          <w:szCs w:val="32"/>
        </w:rPr>
        <w:t>6、</w:t>
      </w:r>
      <w:r>
        <w:rPr>
          <w:rFonts w:hint="eastAsia" w:ascii="仿宋_GB2312" w:eastAsia="仿宋_GB2312"/>
          <w:sz w:val="32"/>
          <w:szCs w:val="32"/>
        </w:rPr>
        <w:t>就中心与员工之间的劳动争议（包括合同解除、薪酬、工伤等）提供法律咨询，参与协商调解，并代理中心参加劳动仲裁活动。</w:t>
      </w:r>
    </w:p>
    <w:p w14:paraId="000FE720">
      <w:pPr>
        <w:pStyle w:val="7"/>
        <w:ind w:firstLine="640"/>
        <w:rPr>
          <w:rFonts w:hint="eastAsia" w:ascii="仿宋_GB2312" w:hAnsi="华文仿宋" w:eastAsia="仿宋_GB2312"/>
          <w:sz w:val="32"/>
          <w:szCs w:val="32"/>
        </w:rPr>
      </w:pPr>
      <w:r>
        <w:rPr>
          <w:rFonts w:hint="eastAsia" w:ascii="仿宋_GB2312" w:hAnsi="华文仿宋" w:eastAsia="仿宋_GB2312"/>
          <w:sz w:val="32"/>
          <w:szCs w:val="32"/>
        </w:rPr>
        <w:t>7、</w:t>
      </w:r>
      <w:r>
        <w:rPr>
          <w:rFonts w:hint="eastAsia" w:ascii="仿宋_GB2312" w:hAnsi="宋体" w:eastAsia="仿宋_GB2312"/>
          <w:sz w:val="32"/>
          <w:szCs w:val="32"/>
        </w:rPr>
        <w:t>代理中心处理各类法律程序，包括但不限于：民事诉讼、经济诉讼、行政复议、行政诉讼、商事仲裁、劳动争议仲裁，以及行政调解、司法调解等。</w:t>
      </w:r>
    </w:p>
    <w:p w14:paraId="7D226321">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8、协助中心进行知识产权的布局、申报（如专利、商标、软件著作权等），并提供侵权风险防范及维权建议。</w:t>
      </w:r>
    </w:p>
    <w:p w14:paraId="050414EF">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9、处理中心交办的其他重大、疑难或突发法律事务（如突发公共卫生事件中的法律应对、行政处罚申辩等）。</w:t>
      </w:r>
    </w:p>
    <w:p w14:paraId="05571A01">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10、根据中心业务类型，分类制定合同示范文本（如采购合同、技术服务合同、保密协议、劳动合同等），并根据法律法规变化及业务发展及时更新。</w:t>
      </w:r>
    </w:p>
    <w:p w14:paraId="4A5E5B5E">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11、保密义务:</w:t>
      </w:r>
    </w:p>
    <w:p w14:paraId="010391CC">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(1)服务团队及所在律师事务所应对在服务过程中知悉的中心所有未公开信息、文件、数据、内部决策、个人隐私、受试者信息、技术资料、采购底价等承担保密义务。</w:t>
      </w:r>
    </w:p>
    <w:p w14:paraId="013E49D4">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(2)未经中心书面同意，不得向任何第三方泄露，亦不得用于与服务无关的任何目的。</w:t>
      </w:r>
    </w:p>
    <w:p w14:paraId="7EAEAEDC">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(3)保密义务不因服务合同的终止而解除，永久有效。</w:t>
      </w:r>
    </w:p>
    <w:p w14:paraId="0E772B81">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(4)如违反保密义务，中心有权解除合同并追究违约及赔偿责任，包括但不限于赔偿因此造成的全部直接及间接损失。</w:t>
      </w:r>
    </w:p>
    <w:p w14:paraId="1A00A32C">
      <w:pPr>
        <w:rPr>
          <w:rFonts w:hint="eastAsia" w:ascii="仿宋_GB2312" w:hAnsi="华文仿宋" w:eastAsia="仿宋_GB2312"/>
          <w:b/>
          <w:bCs/>
          <w:sz w:val="32"/>
          <w:szCs w:val="32"/>
        </w:rPr>
      </w:pPr>
      <w:r>
        <w:rPr>
          <w:rFonts w:hint="eastAsia" w:ascii="仿宋_GB2312" w:hAnsi="华文仿宋" w:eastAsia="仿宋_GB2312"/>
          <w:b/>
          <w:bCs/>
          <w:sz w:val="32"/>
          <w:szCs w:val="32"/>
        </w:rPr>
        <w:t>三、考核与评价</w:t>
      </w:r>
    </w:p>
    <w:p w14:paraId="1B6A9BA2">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中心以服务年度为单位对法律顾问进行年度考核。考核合格（达到中心设定的基本标准）的，经双方协商一致可续签一年；考核不合格的，中心有权单方终止合同，且不承担违约责任。</w:t>
      </w:r>
    </w:p>
    <w:p w14:paraId="56EBF47C">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考核主要围绕以下方面进行综合评价：</w:t>
      </w:r>
    </w:p>
    <w:p w14:paraId="210920F9">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1、服务质量：法律意见是否准确、专业；解决方案是否具有可操作性；是否充分调研事实与法律背景，运用专业知识提供有效思路。</w:t>
      </w:r>
    </w:p>
    <w:p w14:paraId="7642A7C0">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2、响应效率：是否按合同约定的时限（紧急事项2小时内、一般事项24小时内等）及时反馈；遇紧急事项能否按约定时间赴现场配合处理。</w:t>
      </w:r>
    </w:p>
    <w:p w14:paraId="5586CF06">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3、服务态度与协作：指派律师是否态度良好、沟通顺畅；是否按合同要求选派符合条件的律师提供服务，未经同意不得擅自更换团队负责人。</w:t>
      </w:r>
    </w:p>
    <w:p w14:paraId="1A657F67">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4、交付成果质量：阶段成果是否按时提交；最终成果（合同文本、法律意见书、培训课件、合同模板等）是否具有建设性、针对性、专业性，符合中心实际需求。</w:t>
      </w:r>
    </w:p>
    <w:p w14:paraId="1FA4EE5E">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5、合同履约情况：是否存在无正当理由拒绝接受委托事项、违反保密义务、无故缺席重要会议等违约行为。</w:t>
      </w:r>
    </w:p>
    <w:p w14:paraId="3856AAF2">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考核结果分为合格与不合格。具体考核细则及评分标准将在合同签订后另行制定。</w:t>
      </w:r>
    </w:p>
    <w:p w14:paraId="6FE8E991">
      <w:pPr>
        <w:pStyle w:val="7"/>
        <w:ind w:firstLine="0" w:firstLineChars="0"/>
        <w:rPr>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1234881"/>
      <w:docPartObj>
        <w:docPartGallery w:val="autotext"/>
      </w:docPartObj>
    </w:sdtPr>
    <w:sdtContent>
      <w:sdt>
        <w:sdtPr>
          <w:id w:val="1728636285"/>
          <w:docPartObj>
            <w:docPartGallery w:val="autotext"/>
          </w:docPartObj>
        </w:sdtPr>
        <w:sdtContent>
          <w:p w14:paraId="2173D3EA">
            <w:pPr>
              <w:pStyle w:val="3"/>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27A4BD6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162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EA02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D931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3F9F4">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936DE">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40D99"/>
    <w:multiLevelType w:val="multilevel"/>
    <w:tmpl w:val="0DA40D99"/>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E2Mzg1NzQwMzEzYmI4ODYwMTcwYTMyYzZmNThjMTIifQ=="/>
    <w:docVar w:name="KSO_WPS_MARK_KEY" w:val="f5ab5454-0d6e-4a30-8cd7-ba1d98e1f739"/>
  </w:docVars>
  <w:rsids>
    <w:rsidRoot w:val="00D839A7"/>
    <w:rsid w:val="000235A5"/>
    <w:rsid w:val="002847DD"/>
    <w:rsid w:val="002A1929"/>
    <w:rsid w:val="003256BE"/>
    <w:rsid w:val="00981A57"/>
    <w:rsid w:val="00994CAD"/>
    <w:rsid w:val="009B6A3A"/>
    <w:rsid w:val="009F36AD"/>
    <w:rsid w:val="00A01BC0"/>
    <w:rsid w:val="00A451C7"/>
    <w:rsid w:val="00D839A7"/>
    <w:rsid w:val="00F108E4"/>
    <w:rsid w:val="0AD52767"/>
    <w:rsid w:val="0DB94500"/>
    <w:rsid w:val="12D31205"/>
    <w:rsid w:val="23BD39BF"/>
    <w:rsid w:val="2CC07E08"/>
    <w:rsid w:val="337A730B"/>
    <w:rsid w:val="37274329"/>
    <w:rsid w:val="39C62687"/>
    <w:rsid w:val="405F15C6"/>
    <w:rsid w:val="407F6BA1"/>
    <w:rsid w:val="421A1F93"/>
    <w:rsid w:val="53C44D6C"/>
    <w:rsid w:val="5DDD1C61"/>
    <w:rsid w:val="6093172F"/>
    <w:rsid w:val="73100DB9"/>
    <w:rsid w:val="77905894"/>
    <w:rsid w:val="791B2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rFonts w:asciiTheme="minorHAnsi" w:hAnsiTheme="minorHAnsi" w:eastAsiaTheme="minorEastAsia" w:cstheme="minorBidi"/>
      <w:kern w:val="2"/>
      <w:sz w:val="18"/>
      <w:szCs w:val="18"/>
    </w:rPr>
  </w:style>
  <w:style w:type="character" w:customStyle="1" w:styleId="9">
    <w:name w:val="页脚 字符"/>
    <w:basedOn w:val="6"/>
    <w:link w:val="3"/>
    <w:qFormat/>
    <w:uiPriority w:val="99"/>
    <w:rPr>
      <w:rFonts w:asciiTheme="minorHAnsi" w:hAnsiTheme="minorHAnsi" w:eastAsiaTheme="minorEastAsia" w:cstheme="minorBidi"/>
      <w:kern w:val="2"/>
      <w:sz w:val="18"/>
      <w:szCs w:val="18"/>
    </w:rPr>
  </w:style>
  <w:style w:type="character" w:customStyle="1" w:styleId="10">
    <w:name w:val="标题 1 字符"/>
    <w:basedOn w:val="6"/>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1691</Words>
  <Characters>1713</Characters>
  <Lines>59</Lines>
  <Paragraphs>41</Paragraphs>
  <TotalTime>33</TotalTime>
  <ScaleCrop>false</ScaleCrop>
  <LinksUpToDate>false</LinksUpToDate>
  <CharactersWithSpaces>1713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2026-06-12T08:02:00Z</dcterms:created>
  <dc:creator>Administrator</dc:creator>
  <cp:lastModifiedBy>蔡爱英</cp:lastModifiedBy>
  <dcterms:modified xsi:type="dcterms:W3CDTF">2026-06-26T07:50:43Z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948EF2A1CD8B4D3CAF36530ADFF714F5</vt:lpwstr>
  </property>
  <property fmtid="{D5CDD505-2E9C-101B-9397-08002B2CF9AE}" pid="4" name="KSOTemplateDocerSaveRecord">
    <vt:lpwstr>eyJoZGlkIjoiZjMyZTNhNTFmZWNlMTJjN2QzOGMzZTg4NThhYzUwODciLCJ1c2VySWQiOiIxNzczMTc4ODk2In0=</vt:lpwstr>
  </property>
</Properties>
</file>