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3B73">
      <w:pPr>
        <w:spacing w:line="360" w:lineRule="auto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附件1.项目需求书</w:t>
      </w:r>
    </w:p>
    <w:p w14:paraId="7B0F09F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公共卫生医学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自动阅片仪</w:t>
      </w:r>
    </w:p>
    <w:p w14:paraId="19C4FBC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书</w:t>
      </w:r>
      <w:bookmarkStart w:id="0" w:name="_GoBack"/>
      <w:bookmarkEnd w:id="0"/>
    </w:p>
    <w:p w14:paraId="75951381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0CEB36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</w:t>
      </w:r>
      <w:r>
        <w:rPr>
          <w:rFonts w:hint="eastAsia" w:ascii="宋体" w:hAnsi="宋体" w:eastAsia="宋体" w:cs="宋体"/>
          <w:b/>
          <w:bCs/>
          <w:szCs w:val="21"/>
        </w:rPr>
        <w:t>名称：</w:t>
      </w:r>
      <w:r>
        <w:rPr>
          <w:rFonts w:hint="eastAsia" w:ascii="宋体" w:hAnsi="宋体" w:eastAsia="宋体" w:cs="宋体"/>
          <w:szCs w:val="21"/>
          <w:lang w:val="en-US" w:eastAsia="zh-CN"/>
        </w:rPr>
        <w:t>自动阅片仪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 w14:paraId="355EAC79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标的数量</w:t>
      </w:r>
      <w:r>
        <w:rPr>
          <w:rFonts w:hint="eastAsia" w:ascii="宋体" w:hAnsi="宋体" w:eastAsia="宋体" w:cs="宋体"/>
          <w:szCs w:val="21"/>
          <w:lang w:val="en-US" w:eastAsia="zh-CN"/>
        </w:rPr>
        <w:t>：1套。</w:t>
      </w:r>
    </w:p>
    <w:p w14:paraId="48A85AA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Cs w:val="21"/>
        </w:rPr>
        <w:t>主要功能或者目标：</w:t>
      </w:r>
    </w:p>
    <w:p w14:paraId="67EFD158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适</w:t>
      </w:r>
      <w:r>
        <w:rPr>
          <w:rFonts w:hint="eastAsia" w:ascii="宋体" w:hAnsi="宋体" w:eastAsia="宋体" w:cs="宋体"/>
          <w:szCs w:val="21"/>
          <w:lang w:eastAsia="zh-CN"/>
        </w:rPr>
        <w:t>用</w:t>
      </w:r>
      <w:r>
        <w:rPr>
          <w:rFonts w:hint="eastAsia" w:ascii="宋体" w:hAnsi="宋体" w:eastAsia="宋体" w:cs="宋体"/>
          <w:szCs w:val="21"/>
        </w:rPr>
        <w:t>于对临床样本（血液、痰液、体液、尿液等）涂片的显微图像进行采集、浏览、筛选、存储及管理；设备须具备全片连续扫描能力，不接受仅扫描固定数量视野的抽样扫描方式。支持抗酸</w:t>
      </w:r>
      <w:r>
        <w:rPr>
          <w:rFonts w:hint="eastAsia" w:ascii="宋体" w:hAnsi="宋体" w:eastAsia="宋体" w:cs="宋体"/>
          <w:szCs w:val="21"/>
          <w:lang w:eastAsia="zh-CN"/>
        </w:rPr>
        <w:t>染色、荧光染色、格兰染色</w:t>
      </w:r>
      <w:r>
        <w:rPr>
          <w:rFonts w:hint="eastAsia" w:ascii="宋体" w:hAnsi="宋体" w:eastAsia="宋体" w:cs="宋体"/>
          <w:szCs w:val="21"/>
        </w:rPr>
        <w:t>等多种样本类型的数字化全片扫描，为实验室形态学检验提供标准化、数字化解决方案。</w:t>
      </w:r>
    </w:p>
    <w:p w14:paraId="541B72D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四、技术参数：</w:t>
      </w:r>
    </w:p>
    <w:p w14:paraId="0150906E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1.扫描方式：根据涂片预览轮廓自动聚焦，自动计算涂片全区域面积及视野，采用自动连续对焦技术，实现100倍油镜下全片连续扫描，不得采用仅扫描300、500等固定视野的抽样扫描方式，但可选择扫描固定视野的扫描方式。</w:t>
      </w:r>
    </w:p>
    <w:p w14:paraId="58396FEC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2.扫描面积：单次涂片扫描覆盖面积≥800mm²（20mm×40mm），覆盖标准涂片检测区域。</w:t>
      </w:r>
    </w:p>
    <w:p w14:paraId="0F5F6EA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3.扫描速度：全片20mm×40mm扫描时间≤180秒。</w:t>
      </w:r>
    </w:p>
    <w:p w14:paraId="4C0DB498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4.支持样本类型：</w:t>
      </w:r>
      <w:r>
        <w:rPr>
          <w:rFonts w:hint="eastAsia" w:ascii="宋体" w:hAnsi="宋体" w:eastAsia="宋体" w:cs="宋体"/>
          <w:szCs w:val="21"/>
        </w:rPr>
        <w:t>支持抗酸</w:t>
      </w:r>
      <w:r>
        <w:rPr>
          <w:rFonts w:hint="eastAsia" w:ascii="宋体" w:hAnsi="宋体" w:eastAsia="宋体" w:cs="宋体"/>
          <w:szCs w:val="21"/>
          <w:lang w:eastAsia="zh-CN"/>
        </w:rPr>
        <w:t>染色、荧光染色、格兰染色</w:t>
      </w:r>
      <w:r>
        <w:rPr>
          <w:rFonts w:hint="eastAsia" w:ascii="宋体" w:hAnsi="宋体" w:eastAsia="宋体" w:cs="宋体"/>
          <w:szCs w:val="21"/>
        </w:rPr>
        <w:t>等多种</w:t>
      </w:r>
      <w:r>
        <w:rPr>
          <w:rFonts w:hint="eastAsia" w:ascii="宋体" w:hAnsi="宋体" w:eastAsia="宋体" w:cs="宋体"/>
          <w:szCs w:val="21"/>
          <w:lang w:eastAsia="zh-CN"/>
        </w:rPr>
        <w:t>染色</w:t>
      </w:r>
      <w:r>
        <w:rPr>
          <w:rFonts w:hint="eastAsia" w:ascii="宋体" w:hAnsi="宋体" w:eastAsia="宋体" w:cs="宋体"/>
          <w:szCs w:val="21"/>
        </w:rPr>
        <w:t>类型</w:t>
      </w:r>
      <w:r>
        <w:rPr>
          <w:rFonts w:hint="eastAsia" w:ascii="宋体" w:hAnsi="宋体" w:eastAsia="宋体" w:cs="宋体"/>
          <w:szCs w:val="21"/>
          <w:lang w:eastAsia="zh-CN"/>
        </w:rPr>
        <w:t>；支持普通涂片和膜浓缩集菌制片类型。</w:t>
      </w:r>
    </w:p>
    <w:p w14:paraId="646CEC1E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5.物镜配置：需具备100倍油镜，可自动对涂片滴加镜油，镜油量自动感应并报警。可加装其他倍数高低倍镜。</w:t>
      </w:r>
    </w:p>
    <w:p w14:paraId="4C55BA3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6.通量要求：支持一次性装载≥100片玻片，支持边扫描边上样，支持单片加急优先扫描。</w:t>
      </w:r>
    </w:p>
    <w:p w14:paraId="17797BE7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7.图像要求：图像分辨率≥2048×2048，可导出多种图像格式；图像可按日期永久保存、随时调阅；图像具有唯一标识，可供溯源。</w:t>
      </w:r>
    </w:p>
    <w:p w14:paraId="6D258506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8.系统要求：产品须取得国家药品监督管理局（NMPA）颁发的医疗器械注册证，具备合法上市资质。支持后续软件授权或硬件加装进行功能扩展，可支持抗酸杆菌、液基细胞学、尿沉渣形态、血液病学、精子形态、病理图文、性病/皮肤病荧光等报告系统模组。</w:t>
      </w:r>
    </w:p>
    <w:p w14:paraId="69FE9C6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五、售后要求：</w:t>
      </w:r>
    </w:p>
    <w:p w14:paraId="7298D0E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1.需提供</w:t>
      </w:r>
      <w:r>
        <w:rPr>
          <w:rFonts w:hint="eastAsia" w:ascii="宋体" w:hAnsi="宋体" w:eastAsia="宋体" w:cs="宋体"/>
          <w:szCs w:val="21"/>
        </w:rPr>
        <w:t>现场培训</w:t>
      </w:r>
      <w:r>
        <w:rPr>
          <w:rFonts w:hint="eastAsia" w:ascii="宋体" w:hAnsi="宋体" w:eastAsia="宋体" w:cs="宋体"/>
          <w:szCs w:val="21"/>
          <w:lang w:eastAsia="zh-CN"/>
        </w:rPr>
        <w:t>及相应培训产品、试剂和耗材。</w:t>
      </w:r>
    </w:p>
    <w:p w14:paraId="49E807B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Cs w:val="21"/>
        </w:rPr>
        <w:t>验收合格后，整机免费保修期不低于 2 年</w:t>
      </w:r>
      <w:r>
        <w:rPr>
          <w:rFonts w:hint="eastAsia" w:ascii="宋体" w:hAnsi="宋体" w:eastAsia="宋体" w:cs="宋体"/>
          <w:szCs w:val="21"/>
          <w:lang w:eastAsia="zh-CN"/>
        </w:rPr>
        <w:t>，故障响应时间≤24小时（工作日）</w:t>
      </w:r>
      <w:r>
        <w:rPr>
          <w:rFonts w:hint="eastAsia" w:ascii="宋体" w:hAnsi="宋体" w:eastAsia="宋体" w:cs="宋体"/>
          <w:szCs w:val="21"/>
        </w:rPr>
        <w:t>。</w:t>
      </w:r>
    </w:p>
    <w:p w14:paraId="1AAE29B5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3.提供完整的中文操作手册、维护手册及软件使用说明。</w:t>
      </w:r>
    </w:p>
    <w:p w14:paraId="26DA099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六、其他配置要求：</w:t>
      </w:r>
    </w:p>
    <w:tbl>
      <w:tblPr>
        <w:tblStyle w:val="8"/>
        <w:tblW w:w="0" w:type="auto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302"/>
        <w:gridCol w:w="3906"/>
      </w:tblGrid>
      <w:tr w14:paraId="56E1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1FC9CF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组件</w:t>
            </w:r>
          </w:p>
        </w:tc>
        <w:tc>
          <w:tcPr>
            <w:tcW w:w="1302" w:type="dxa"/>
          </w:tcPr>
          <w:p w14:paraId="631EF9F6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06" w:type="dxa"/>
          </w:tcPr>
          <w:p w14:paraId="366835B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 w14:paraId="2804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FBBEB9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图像分析工作站</w:t>
            </w:r>
          </w:p>
        </w:tc>
        <w:tc>
          <w:tcPr>
            <w:tcW w:w="1302" w:type="dxa"/>
          </w:tcPr>
          <w:p w14:paraId="574A4A63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套</w:t>
            </w:r>
          </w:p>
        </w:tc>
        <w:tc>
          <w:tcPr>
            <w:tcW w:w="3906" w:type="dxa"/>
          </w:tcPr>
          <w:p w14:paraId="581490D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除仪器自带主机系统外，需配置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高性能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图像分析工作站一套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（≥64线程CPU、≥64GB内存、≥512TB数据盘）及≥24英寸显示器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）要求能够对接主流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LIS系统，对接仪器，直连打印，支持有线以太网、WiFi无线网络、4G/5G移动网络等数据传输方式。</w:t>
            </w:r>
          </w:p>
        </w:tc>
      </w:tr>
      <w:tr w14:paraId="3E4C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62BEBD0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维护工具</w:t>
            </w:r>
          </w:p>
        </w:tc>
        <w:tc>
          <w:tcPr>
            <w:tcW w:w="1302" w:type="dxa"/>
          </w:tcPr>
          <w:p w14:paraId="4A66F1FD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1套</w:t>
            </w:r>
          </w:p>
        </w:tc>
        <w:tc>
          <w:tcPr>
            <w:tcW w:w="3906" w:type="dxa"/>
          </w:tcPr>
          <w:p w14:paraId="6A5E4A1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用于日常使用者维护，清洁</w:t>
            </w:r>
          </w:p>
        </w:tc>
      </w:tr>
      <w:tr w14:paraId="10EC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444E35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其他附件</w:t>
            </w:r>
          </w:p>
        </w:tc>
        <w:tc>
          <w:tcPr>
            <w:tcW w:w="1302" w:type="dxa"/>
          </w:tcPr>
          <w:p w14:paraId="01D2ED4F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若干</w:t>
            </w:r>
          </w:p>
        </w:tc>
        <w:tc>
          <w:tcPr>
            <w:tcW w:w="3906" w:type="dxa"/>
          </w:tcPr>
          <w:p w14:paraId="13E69B9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按设备需求配置相应附件，备用耗材等</w:t>
            </w:r>
          </w:p>
        </w:tc>
      </w:tr>
      <w:tr w14:paraId="6377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A2E3440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02" w:type="dxa"/>
          </w:tcPr>
          <w:p w14:paraId="3997674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906" w:type="dxa"/>
          </w:tcPr>
          <w:p w14:paraId="0062A59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3074AEFE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A3C99"/>
    <w:multiLevelType w:val="singleLevel"/>
    <w:tmpl w:val="EACA3C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67108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83620"/>
    <w:rsid w:val="004A6821"/>
    <w:rsid w:val="004A76EE"/>
    <w:rsid w:val="004C58A0"/>
    <w:rsid w:val="004D0E43"/>
    <w:rsid w:val="004D18E2"/>
    <w:rsid w:val="004F5DD8"/>
    <w:rsid w:val="005007BB"/>
    <w:rsid w:val="0051790A"/>
    <w:rsid w:val="00527226"/>
    <w:rsid w:val="00555A7F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0624"/>
    <w:rsid w:val="006B4122"/>
    <w:rsid w:val="006F4883"/>
    <w:rsid w:val="007029CD"/>
    <w:rsid w:val="007245C5"/>
    <w:rsid w:val="00753F8F"/>
    <w:rsid w:val="00755175"/>
    <w:rsid w:val="00781A02"/>
    <w:rsid w:val="007844B7"/>
    <w:rsid w:val="007B17AF"/>
    <w:rsid w:val="007B6CB7"/>
    <w:rsid w:val="007D1163"/>
    <w:rsid w:val="00817388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A75D4"/>
    <w:rsid w:val="009B455E"/>
    <w:rsid w:val="009E7E4B"/>
    <w:rsid w:val="00A00CF1"/>
    <w:rsid w:val="00A214FB"/>
    <w:rsid w:val="00A267CD"/>
    <w:rsid w:val="00A566FD"/>
    <w:rsid w:val="00A67ABB"/>
    <w:rsid w:val="00AC3576"/>
    <w:rsid w:val="00B26EA4"/>
    <w:rsid w:val="00B71D4C"/>
    <w:rsid w:val="00B73346"/>
    <w:rsid w:val="00BC602A"/>
    <w:rsid w:val="00BD1B60"/>
    <w:rsid w:val="00C15814"/>
    <w:rsid w:val="00C41A4C"/>
    <w:rsid w:val="00CE1A54"/>
    <w:rsid w:val="00CE6CA8"/>
    <w:rsid w:val="00CF5ABD"/>
    <w:rsid w:val="00D0174D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85346"/>
    <w:rsid w:val="00EA3528"/>
    <w:rsid w:val="00EC7D45"/>
    <w:rsid w:val="00F10255"/>
    <w:rsid w:val="00F120F2"/>
    <w:rsid w:val="00F1594D"/>
    <w:rsid w:val="00F2246A"/>
    <w:rsid w:val="00F5488A"/>
    <w:rsid w:val="00F67D85"/>
    <w:rsid w:val="00FA3E79"/>
    <w:rsid w:val="00FF3DA2"/>
    <w:rsid w:val="03722324"/>
    <w:rsid w:val="06600EE2"/>
    <w:rsid w:val="074C4677"/>
    <w:rsid w:val="09264DEC"/>
    <w:rsid w:val="10652DCE"/>
    <w:rsid w:val="13BC73D2"/>
    <w:rsid w:val="1E0E02DD"/>
    <w:rsid w:val="21893172"/>
    <w:rsid w:val="27D92EDF"/>
    <w:rsid w:val="2E7157C2"/>
    <w:rsid w:val="35832E23"/>
    <w:rsid w:val="466B5129"/>
    <w:rsid w:val="4C3221AC"/>
    <w:rsid w:val="53D52762"/>
    <w:rsid w:val="56CE3BAA"/>
    <w:rsid w:val="61A45B43"/>
    <w:rsid w:val="61C14EEC"/>
    <w:rsid w:val="71DC772B"/>
    <w:rsid w:val="75194DB0"/>
    <w:rsid w:val="7539590B"/>
    <w:rsid w:val="7B3B660E"/>
    <w:rsid w:val="7B75642B"/>
    <w:rsid w:val="7B884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3">
    <w:name w:val="标题 Char1"/>
    <w:basedOn w:val="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4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5">
    <w:name w:val="Body text|1_"/>
    <w:basedOn w:val="9"/>
    <w:link w:val="16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915</Words>
  <Characters>986</Characters>
  <Lines>2</Lines>
  <Paragraphs>1</Paragraphs>
  <TotalTime>0</TotalTime>
  <ScaleCrop>false</ScaleCrop>
  <LinksUpToDate>false</LinksUpToDate>
  <CharactersWithSpaces>988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徐镠粤</cp:lastModifiedBy>
  <dcterms:modified xsi:type="dcterms:W3CDTF">2026-06-08T02:26:57Z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35E71F00B9F146A089C416B66F0B606F_13</vt:lpwstr>
  </property>
  <property fmtid="{D5CDD505-2E9C-101B-9397-08002B2CF9AE}" pid="4" name="KSOTemplateDocerSaveRecord">
    <vt:lpwstr>eyJoZGlkIjoiOWY2ZDA0MWU5YWRjOTkyODViZTJlOTI4MzJjYWUwMGMiLCJ1c2VySWQiOiIyNjExNjA2NTkifQ==</vt:lpwstr>
  </property>
</Properties>
</file>