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C9468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0" w:afterAutospacing="0" w:line="420" w:lineRule="atLeast"/>
        <w:ind w:firstLine="0"/>
        <w:jc w:val="center"/>
        <w:textAlignment w:val="auto"/>
        <w:rPr>
          <w:rFonts w:hint="default" w:ascii="Times New Roman" w:hAnsi="Times New Roman" w:eastAsia="宋体" w:cs="Times New Roman"/>
          <w:color w:val="1E1E1E"/>
          <w:sz w:val="32"/>
          <w:szCs w:val="32"/>
          <w:shd w:val="clear" w:color="auto" w:fill="FFFFFF"/>
          <w:vertAlign w:val="baseline"/>
          <w:lang w:val="en-US"/>
        </w:rPr>
      </w:pPr>
      <w:r>
        <w:rPr>
          <w:rFonts w:hint="eastAsia" w:ascii="Times New Roman" w:hAnsi="Times New Roman" w:eastAsia="黑体" w:cs="Times New Roman"/>
          <w:color w:val="1E1E1E"/>
          <w:sz w:val="32"/>
          <w:szCs w:val="32"/>
          <w:shd w:val="clear" w:color="auto" w:fill="FFFFFF"/>
          <w:lang w:val="en-US" w:eastAsia="zh-CN"/>
        </w:rPr>
        <w:t>高通量测序系统</w:t>
      </w:r>
      <w:r>
        <w:rPr>
          <w:rFonts w:hint="default" w:ascii="Times New Roman" w:hAnsi="Times New Roman" w:eastAsia="黑体" w:cs="Times New Roman"/>
          <w:color w:val="1E1E1E"/>
          <w:sz w:val="32"/>
          <w:szCs w:val="32"/>
          <w:shd w:val="clear" w:color="auto" w:fill="FFFFFF"/>
          <w:lang w:val="en-US" w:eastAsia="zh-CN"/>
        </w:rPr>
        <w:t>系统需求物品</w:t>
      </w:r>
      <w:bookmarkStart w:id="0" w:name="_GoBack"/>
      <w:bookmarkEnd w:id="0"/>
      <w:r>
        <w:rPr>
          <w:rFonts w:hint="default" w:ascii="Times New Roman" w:hAnsi="Times New Roman" w:eastAsia="黑体" w:cs="Times New Roman"/>
          <w:color w:val="1E1E1E"/>
          <w:sz w:val="32"/>
          <w:szCs w:val="32"/>
          <w:shd w:val="clear" w:color="auto" w:fill="FFFFFF"/>
          <w:lang w:val="en-US" w:eastAsia="zh-CN"/>
        </w:rPr>
        <w:t>清单（仅供参考，但不限于）</w:t>
      </w:r>
    </w:p>
    <w:tbl>
      <w:tblPr>
        <w:tblStyle w:val="4"/>
        <w:tblW w:w="8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282"/>
        <w:gridCol w:w="2767"/>
        <w:gridCol w:w="2483"/>
        <w:gridCol w:w="709"/>
        <w:gridCol w:w="777"/>
      </w:tblGrid>
      <w:tr w14:paraId="5D206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19" w:type="dxa"/>
            <w:noWrap w:val="0"/>
            <w:vAlign w:val="center"/>
          </w:tcPr>
          <w:p w14:paraId="19E0595B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1E1E1E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282" w:type="dxa"/>
            <w:noWrap w:val="0"/>
            <w:vAlign w:val="center"/>
          </w:tcPr>
          <w:p w14:paraId="36A6E0DC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1E1E1E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标的名称</w:t>
            </w:r>
          </w:p>
        </w:tc>
        <w:tc>
          <w:tcPr>
            <w:tcW w:w="2767" w:type="dxa"/>
            <w:noWrap w:val="0"/>
            <w:vAlign w:val="center"/>
          </w:tcPr>
          <w:p w14:paraId="4B69F46D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1E1E1E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1E1E1E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物资组成</w:t>
            </w:r>
          </w:p>
        </w:tc>
        <w:tc>
          <w:tcPr>
            <w:tcW w:w="2483" w:type="dxa"/>
            <w:noWrap w:val="0"/>
            <w:vAlign w:val="center"/>
          </w:tcPr>
          <w:p w14:paraId="243F4173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1E1E1E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满足功能</w:t>
            </w:r>
          </w:p>
        </w:tc>
        <w:tc>
          <w:tcPr>
            <w:tcW w:w="709" w:type="dxa"/>
            <w:noWrap w:val="0"/>
            <w:vAlign w:val="center"/>
          </w:tcPr>
          <w:p w14:paraId="427B12A4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1E1E1E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数量</w:t>
            </w:r>
          </w:p>
        </w:tc>
        <w:tc>
          <w:tcPr>
            <w:tcW w:w="777" w:type="dxa"/>
            <w:noWrap w:val="0"/>
            <w:vAlign w:val="center"/>
          </w:tcPr>
          <w:p w14:paraId="538DE6CA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1E1E1E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单价</w:t>
            </w:r>
          </w:p>
        </w:tc>
      </w:tr>
      <w:tr w14:paraId="08458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719" w:type="dxa"/>
            <w:noWrap w:val="0"/>
            <w:vAlign w:val="center"/>
          </w:tcPr>
          <w:p w14:paraId="7D6D1571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282" w:type="dxa"/>
            <w:noWrap w:val="0"/>
            <w:vAlign w:val="center"/>
          </w:tcPr>
          <w:p w14:paraId="4C4B0D02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第三代测序系统主机</w:t>
            </w:r>
          </w:p>
        </w:tc>
        <w:tc>
          <w:tcPr>
            <w:tcW w:w="2767" w:type="dxa"/>
            <w:noWrap w:val="0"/>
            <w:vAlign w:val="center"/>
          </w:tcPr>
          <w:p w14:paraId="63182717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测序仪主机、电源适配器、主机连接线缆、安装启动套件</w:t>
            </w:r>
          </w:p>
        </w:tc>
        <w:tc>
          <w:tcPr>
            <w:tcW w:w="2483" w:type="dxa"/>
            <w:noWrap w:val="0"/>
            <w:vAlign w:val="center"/>
          </w:tcPr>
          <w:p w14:paraId="1A405EBD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负责对样本进行实际测序，产出包含基因序列及修饰信息（如5mC甲基化）的原始数据；支持主流测序技术（如纳米孔、单分子等不限），能读取较长片段的基因序列（读长≥15kb）</w:t>
            </w:r>
          </w:p>
        </w:tc>
        <w:tc>
          <w:tcPr>
            <w:tcW w:w="709" w:type="dxa"/>
            <w:noWrap w:val="0"/>
            <w:vAlign w:val="center"/>
          </w:tcPr>
          <w:p w14:paraId="45B15CD9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777" w:type="dxa"/>
            <w:noWrap w:val="0"/>
            <w:vAlign w:val="center"/>
          </w:tcPr>
          <w:p w14:paraId="5FCC9ED6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25CAC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719" w:type="dxa"/>
            <w:noWrap w:val="0"/>
            <w:vAlign w:val="center"/>
          </w:tcPr>
          <w:p w14:paraId="1FA0CEF4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282" w:type="dxa"/>
            <w:noWrap w:val="0"/>
            <w:vAlign w:val="center"/>
          </w:tcPr>
          <w:p w14:paraId="56455B7B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配套耗材</w:t>
            </w:r>
          </w:p>
        </w:tc>
        <w:tc>
          <w:tcPr>
            <w:tcW w:w="2767" w:type="dxa"/>
            <w:noWrap w:val="0"/>
            <w:vAlign w:val="center"/>
          </w:tcPr>
          <w:p w14:paraId="045912B9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测序芯片、建库试剂盒、测序运行试剂盒、启动与维护套件（含清洗试剂、标准质控品等）</w:t>
            </w:r>
          </w:p>
        </w:tc>
        <w:tc>
          <w:tcPr>
            <w:tcW w:w="2483" w:type="dxa"/>
            <w:noWrap w:val="0"/>
            <w:vAlign w:val="center"/>
          </w:tcPr>
          <w:p w14:paraId="30208B36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可完成测序前的样本处理、芯片上机测序及设备日常清洗维护等全流程工作。单芯片设计通量≥60Gb；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支持多样本混样建库</w:t>
            </w:r>
          </w:p>
        </w:tc>
        <w:tc>
          <w:tcPr>
            <w:tcW w:w="709" w:type="dxa"/>
            <w:noWrap w:val="0"/>
            <w:vAlign w:val="center"/>
          </w:tcPr>
          <w:p w14:paraId="6BAB5603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777" w:type="dxa"/>
            <w:noWrap w:val="0"/>
            <w:vAlign w:val="center"/>
          </w:tcPr>
          <w:p w14:paraId="771ADF54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21F96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19" w:type="dxa"/>
            <w:noWrap w:val="0"/>
            <w:vAlign w:val="center"/>
          </w:tcPr>
          <w:p w14:paraId="6F8009A8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282" w:type="dxa"/>
            <w:noWrap w:val="0"/>
            <w:vAlign w:val="center"/>
          </w:tcPr>
          <w:p w14:paraId="06A0A771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测序控制与分析软件系统</w:t>
            </w:r>
          </w:p>
        </w:tc>
        <w:tc>
          <w:tcPr>
            <w:tcW w:w="2767" w:type="dxa"/>
            <w:noWrap w:val="0"/>
            <w:vAlign w:val="center"/>
          </w:tcPr>
          <w:p w14:paraId="0FCBEBF5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主机嵌入式控制软件、配套数据分析软件（安装于服务器）、软件使用授权及升级服务</w:t>
            </w:r>
          </w:p>
        </w:tc>
        <w:tc>
          <w:tcPr>
            <w:tcW w:w="2483" w:type="dxa"/>
            <w:noWrap w:val="0"/>
            <w:vAlign w:val="center"/>
          </w:tcPr>
          <w:p w14:paraId="2D093BF4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负责测序过程的自动控制和实时监控，并将原始信号转换为基因序列后完成质控、比对、拼接、变异检测及修饰分析等基础数据处理。性能要求：支持≥400bp/s实时碱基识别处理速度；支持高通量测序模式及≥96种Barcode拆分</w:t>
            </w:r>
          </w:p>
        </w:tc>
        <w:tc>
          <w:tcPr>
            <w:tcW w:w="709" w:type="dxa"/>
            <w:noWrap w:val="0"/>
            <w:vAlign w:val="center"/>
          </w:tcPr>
          <w:p w14:paraId="51CC012B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777" w:type="dxa"/>
            <w:noWrap w:val="0"/>
            <w:vAlign w:val="center"/>
          </w:tcPr>
          <w:p w14:paraId="6BF9CB40">
            <w:pPr>
              <w:keepNext w:val="0"/>
              <w:keepLines w:val="0"/>
              <w:widowControl/>
              <w:suppressLineNumbers w:val="0"/>
              <w:wordWrap w:val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0ABF7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19" w:type="dxa"/>
            <w:noWrap w:val="0"/>
            <w:vAlign w:val="center"/>
          </w:tcPr>
          <w:p w14:paraId="7F9461B8">
            <w:pPr>
              <w:pStyle w:val="2"/>
              <w:widowControl/>
              <w:spacing w:before="105" w:beforeAutospacing="0" w:after="0" w:afterAutospacing="0" w:line="420" w:lineRule="atLeast"/>
              <w:jc w:val="center"/>
              <w:rPr>
                <w:rFonts w:hint="default" w:ascii="Times New Roman" w:hAnsi="Times New Roman" w:eastAsia="仿宋_GB2312" w:cs="Times New Roman"/>
                <w:color w:val="1E1E1E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1E1E1E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282" w:type="dxa"/>
            <w:noWrap w:val="0"/>
            <w:vAlign w:val="center"/>
          </w:tcPr>
          <w:p w14:paraId="0EA50BE7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高通量数据分析服务器</w:t>
            </w:r>
          </w:p>
        </w:tc>
        <w:tc>
          <w:tcPr>
            <w:tcW w:w="2767" w:type="dxa"/>
            <w:noWrap w:val="0"/>
            <w:vAlign w:val="center"/>
          </w:tcPr>
          <w:p w14:paraId="2AD4DA35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2U机架式服务器（含双路CPU ≥24核/颗、≥384GB内存、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高性能GPU加速卡（单卡显存≥48GB，支持多卡并行扩展） 、系统盘≥960GB SSD、数据盘≥32TB、RAID控制器、冗余电源≥1400W×2、专用散热系统、导轨及电源线）、Linux操作系统</w:t>
            </w:r>
          </w:p>
        </w:tc>
        <w:tc>
          <w:tcPr>
            <w:tcW w:w="2483" w:type="dxa"/>
            <w:noWrap w:val="0"/>
            <w:vAlign w:val="center"/>
          </w:tcPr>
          <w:p w14:paraId="3FFFA709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将测序仪产出的原始数据快速转换为基因序列；承担序列比对、基因组拼接等分析任务；大容量存储数据，支撑多任务高效运行；GPU加速卡大幅提升数据转换效率。性能要求：单次运行可完成≥96个微生物样本混合分析；支持≥20X覆盖度人源基因组组装；支持TB级数据处理</w:t>
            </w:r>
          </w:p>
        </w:tc>
        <w:tc>
          <w:tcPr>
            <w:tcW w:w="709" w:type="dxa"/>
            <w:noWrap w:val="0"/>
            <w:vAlign w:val="center"/>
          </w:tcPr>
          <w:p w14:paraId="6B6A8054">
            <w:pPr>
              <w:pStyle w:val="2"/>
              <w:widowControl/>
              <w:spacing w:before="105" w:beforeAutospacing="0" w:after="0" w:afterAutospacing="0" w:line="420" w:lineRule="atLeast"/>
              <w:jc w:val="center"/>
              <w:rPr>
                <w:rFonts w:hint="eastAsia" w:ascii="Times New Roman" w:hAnsi="Times New Roman" w:eastAsia="仿宋_GB2312" w:cs="Times New Roman"/>
                <w:color w:val="1E1E1E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1E1E1E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777" w:type="dxa"/>
            <w:noWrap w:val="0"/>
            <w:vAlign w:val="center"/>
          </w:tcPr>
          <w:p w14:paraId="38B10760">
            <w:pPr>
              <w:pStyle w:val="2"/>
              <w:widowControl/>
              <w:spacing w:before="105" w:beforeAutospacing="0" w:after="0" w:afterAutospacing="0" w:line="420" w:lineRule="atLeast"/>
              <w:jc w:val="center"/>
              <w:rPr>
                <w:rFonts w:hint="default" w:ascii="Times New Roman" w:hAnsi="Times New Roman" w:eastAsia="仿宋_GB2312" w:cs="Times New Roman"/>
                <w:color w:val="1E1E1E"/>
                <w:sz w:val="24"/>
                <w:szCs w:val="24"/>
                <w:shd w:val="clear" w:color="auto" w:fill="FFFFFF"/>
                <w:vertAlign w:val="baseline"/>
              </w:rPr>
            </w:pPr>
          </w:p>
        </w:tc>
      </w:tr>
      <w:tr w14:paraId="23EE8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19" w:type="dxa"/>
            <w:noWrap w:val="0"/>
            <w:vAlign w:val="center"/>
          </w:tcPr>
          <w:p w14:paraId="7AE68B53">
            <w:pPr>
              <w:pStyle w:val="2"/>
              <w:widowControl/>
              <w:spacing w:before="105" w:beforeAutospacing="0" w:after="0" w:afterAutospacing="0" w:line="420" w:lineRule="atLeast"/>
              <w:jc w:val="center"/>
              <w:rPr>
                <w:rFonts w:hint="default" w:ascii="Times New Roman" w:hAnsi="Times New Roman" w:eastAsia="仿宋_GB2312" w:cs="Times New Roman"/>
                <w:color w:val="1E1E1E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1E1E1E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282" w:type="dxa"/>
            <w:noWrap w:val="0"/>
            <w:vAlign w:val="center"/>
          </w:tcPr>
          <w:p w14:paraId="495DF517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标准机柜</w:t>
            </w:r>
          </w:p>
        </w:tc>
        <w:tc>
          <w:tcPr>
            <w:tcW w:w="2767" w:type="dxa"/>
            <w:noWrap w:val="0"/>
            <w:vAlign w:val="center"/>
          </w:tcPr>
          <w:p w14:paraId="4D680FD4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标准尺寸算力机柜（含基础配件）</w:t>
            </w:r>
          </w:p>
        </w:tc>
        <w:tc>
          <w:tcPr>
            <w:tcW w:w="2483" w:type="dxa"/>
            <w:noWrap w:val="0"/>
            <w:vAlign w:val="center"/>
          </w:tcPr>
          <w:p w14:paraId="4BEE3DFD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为服务器提供标准化的安装空间和物理防护，便于集中管理和散热。尺寸要求：长宽皆要求≤70cm，高度≤180cm。</w:t>
            </w:r>
          </w:p>
        </w:tc>
        <w:tc>
          <w:tcPr>
            <w:tcW w:w="709" w:type="dxa"/>
            <w:noWrap w:val="0"/>
            <w:vAlign w:val="center"/>
          </w:tcPr>
          <w:p w14:paraId="293483E7">
            <w:pPr>
              <w:pStyle w:val="2"/>
              <w:widowControl/>
              <w:spacing w:before="105" w:beforeAutospacing="0" w:after="0" w:afterAutospacing="0" w:line="420" w:lineRule="atLeast"/>
              <w:jc w:val="center"/>
              <w:rPr>
                <w:rFonts w:hint="eastAsia" w:ascii="Times New Roman" w:hAnsi="Times New Roman" w:eastAsia="仿宋_GB2312" w:cs="Times New Roman"/>
                <w:color w:val="1E1E1E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1E1E1E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777" w:type="dxa"/>
            <w:noWrap w:val="0"/>
            <w:vAlign w:val="center"/>
          </w:tcPr>
          <w:p w14:paraId="76D5E0BC">
            <w:pPr>
              <w:pStyle w:val="2"/>
              <w:widowControl/>
              <w:spacing w:before="105" w:beforeAutospacing="0" w:after="0" w:afterAutospacing="0" w:line="420" w:lineRule="atLeast"/>
              <w:jc w:val="center"/>
              <w:rPr>
                <w:rFonts w:hint="default" w:ascii="Times New Roman" w:hAnsi="Times New Roman" w:eastAsia="仿宋_GB2312" w:cs="Times New Roman"/>
                <w:color w:val="1E1E1E"/>
                <w:sz w:val="24"/>
                <w:szCs w:val="24"/>
                <w:shd w:val="clear" w:color="auto" w:fill="FFFFFF"/>
                <w:vertAlign w:val="baseline"/>
              </w:rPr>
            </w:pPr>
          </w:p>
        </w:tc>
      </w:tr>
      <w:tr w14:paraId="30926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19" w:type="dxa"/>
            <w:noWrap w:val="0"/>
            <w:vAlign w:val="center"/>
          </w:tcPr>
          <w:p w14:paraId="00112E0E">
            <w:pPr>
              <w:pStyle w:val="2"/>
              <w:widowControl/>
              <w:spacing w:before="105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Times New Roman" w:hAnsi="Times New Roman" w:eastAsia="仿宋_GB2312" w:cs="Times New Roman"/>
                <w:color w:val="1E1E1E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1E1E1E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1282" w:type="dxa"/>
            <w:noWrap w:val="0"/>
            <w:vAlign w:val="center"/>
          </w:tcPr>
          <w:p w14:paraId="61608C4E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配套控制终端</w:t>
            </w:r>
          </w:p>
        </w:tc>
        <w:tc>
          <w:tcPr>
            <w:tcW w:w="2767" w:type="dxa"/>
            <w:noWrap w:val="0"/>
            <w:vAlign w:val="center"/>
          </w:tcPr>
          <w:p w14:paraId="53FE6AF5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高性能电脑（处理器≥i7，内存≥16GB，双硬盘，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独立显卡≥4GB显存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）</w:t>
            </w:r>
          </w:p>
        </w:tc>
        <w:tc>
          <w:tcPr>
            <w:tcW w:w="2483" w:type="dxa"/>
            <w:noWrap w:val="0"/>
            <w:vAlign w:val="center"/>
          </w:tcPr>
          <w:p w14:paraId="5F3241BE">
            <w:pPr>
              <w:keepNext w:val="0"/>
              <w:keepLines w:val="0"/>
              <w:widowControl/>
              <w:suppressLineNumbers w:val="0"/>
              <w:wordWrap w:val="0"/>
              <w:jc w:val="both"/>
              <w:textAlignment w:val="baseline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用于日常操作控制测序仪和服务器，查看数据运行状态及进行基础管理。CPU为12核16线程，大核睿频≥5.0GHz，Cinebench R23多核≥11,000分；GPU单精度浮点算力≥9.2 </w:t>
            </w:r>
          </w:p>
        </w:tc>
        <w:tc>
          <w:tcPr>
            <w:tcW w:w="709" w:type="dxa"/>
            <w:noWrap w:val="0"/>
            <w:vAlign w:val="center"/>
          </w:tcPr>
          <w:p w14:paraId="60C4631D">
            <w:pPr>
              <w:pStyle w:val="2"/>
              <w:widowControl/>
              <w:spacing w:before="105" w:beforeAutospacing="0" w:after="0" w:afterAutospacing="0" w:line="420" w:lineRule="atLeast"/>
              <w:jc w:val="center"/>
              <w:rPr>
                <w:rFonts w:hint="eastAsia" w:ascii="Times New Roman" w:hAnsi="Times New Roman" w:eastAsia="仿宋_GB2312" w:cs="Times New Roman"/>
                <w:color w:val="1E1E1E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1E1E1E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777" w:type="dxa"/>
            <w:noWrap w:val="0"/>
            <w:vAlign w:val="center"/>
          </w:tcPr>
          <w:p w14:paraId="06894B16">
            <w:pPr>
              <w:pStyle w:val="2"/>
              <w:widowControl/>
              <w:spacing w:before="105" w:beforeAutospacing="0" w:after="0" w:afterAutospacing="0" w:line="420" w:lineRule="atLeast"/>
              <w:jc w:val="center"/>
              <w:rPr>
                <w:rFonts w:hint="default" w:ascii="Times New Roman" w:hAnsi="Times New Roman" w:eastAsia="仿宋_GB2312" w:cs="Times New Roman"/>
                <w:color w:val="1E1E1E"/>
                <w:sz w:val="24"/>
                <w:szCs w:val="24"/>
                <w:shd w:val="clear" w:color="auto" w:fill="FFFFFF"/>
                <w:vertAlign w:val="baseline"/>
              </w:rPr>
            </w:pPr>
          </w:p>
        </w:tc>
      </w:tr>
    </w:tbl>
    <w:p w14:paraId="4E1356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310AB7"/>
    <w:rsid w:val="4E31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2026-08-07T09:49:00Z</dcterms:created>
  <dc:creator>刘小刀</dc:creator>
  <cp:lastModifiedBy>刘小刀</cp:lastModifiedBy>
  <dcterms:modified xsi:type="dcterms:W3CDTF">2026-08-07T10:01:40Z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0DB74EF5E79A4910B48063A4900785D3_11</vt:lpwstr>
  </property>
  <property fmtid="{D5CDD505-2E9C-101B-9397-08002B2CF9AE}" pid="4" name="KSOTemplateDocerSaveRecord">
    <vt:lpwstr>eyJoZGlkIjoiMTE5OTJlMzFlYmU1YTBlYjJlZTA0Zjc2MGU3YmExNTgiLCJ1c2VySWQiOiIxMTc0MDA4OTAwIn0=</vt:lpwstr>
  </property>
</Properties>
</file>