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8275C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广东省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公共卫生医学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中心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2904F3E5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全自动血液细胞分析仪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采购项目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需求</w:t>
      </w:r>
    </w:p>
    <w:p w14:paraId="583CFCEA">
      <w:pPr>
        <w:jc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34EF94">
      <w:pPr>
        <w:numPr>
          <w:ilvl w:val="0"/>
          <w:numId w:val="1"/>
        </w:num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标的</w:t>
      </w:r>
      <w:r>
        <w:rPr>
          <w:rFonts w:hint="eastAsia" w:ascii="宋体" w:hAnsi="宋体" w:eastAsia="宋体" w:cs="宋体"/>
          <w:b/>
          <w:bCs/>
          <w:szCs w:val="21"/>
        </w:rPr>
        <w:t>名称：</w:t>
      </w:r>
      <w:r>
        <w:rPr>
          <w:rFonts w:hint="eastAsia"/>
        </w:rPr>
        <w:t>全自动血液细胞分析仪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五分类血细胞分析仪</w:t>
      </w:r>
      <w:r>
        <w:rPr>
          <w:rFonts w:hint="eastAsia"/>
          <w:lang w:eastAsia="zh-CN"/>
        </w:rPr>
        <w:t>）</w:t>
      </w:r>
    </w:p>
    <w:p w14:paraId="53CC2631">
      <w:pPr>
        <w:numPr>
          <w:ilvl w:val="0"/>
          <w:numId w:val="1"/>
        </w:num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标的数量</w:t>
      </w:r>
      <w:r>
        <w:rPr>
          <w:rFonts w:hint="eastAsia" w:ascii="宋体" w:hAnsi="宋体" w:eastAsia="宋体" w:cs="宋体"/>
          <w:szCs w:val="21"/>
          <w:lang w:val="en-US" w:eastAsia="zh-CN"/>
        </w:rPr>
        <w:t>：1套</w:t>
      </w:r>
      <w:bookmarkStart w:id="6" w:name="_GoBack"/>
      <w:bookmarkEnd w:id="6"/>
    </w:p>
    <w:p w14:paraId="1BE29E06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Cs w:val="21"/>
        </w:rPr>
        <w:t>主要功能或者目标：</w:t>
      </w:r>
    </w:p>
    <w:p w14:paraId="60ADCADA">
      <w:pPr>
        <w:tabs>
          <w:tab w:val="left" w:pos="993"/>
          <w:tab w:val="left" w:pos="1134"/>
          <w:tab w:val="left" w:pos="1418"/>
        </w:tabs>
        <w:spacing w:line="400" w:lineRule="exact"/>
        <w:ind w:firstLine="420" w:firstLineChars="200"/>
        <w:rPr>
          <w:rFonts w:hint="eastAsia" w:ascii="宋体" w:hAnsi="宋体" w:eastAsia="宋体" w:cs="宋体"/>
          <w:szCs w:val="21"/>
          <w:lang w:eastAsia="zh-CN"/>
        </w:rPr>
      </w:pPr>
      <w:bookmarkStart w:id="0" w:name="OLE_LINK3"/>
      <w:r>
        <w:rPr>
          <w:rFonts w:hint="eastAsia" w:ascii="宋体" w:hAnsi="宋体" w:eastAsia="宋体" w:cs="宋体"/>
          <w:szCs w:val="21"/>
        </w:rPr>
        <w:t>适用于抗凝静脉全血、末梢全血、预稀释末梢血等多种临床标本的自动化血液分析检测，采用三维荧光流式细胞术、鞘流阻抗法、比色法、免疫比浊法等多方法学联合检测，实现血常规五分类、C 反应蛋白（CRP）、血清淀粉样蛋白 A（SAA）</w:t>
      </w:r>
      <w:r>
        <w:rPr>
          <w:rFonts w:hint="eastAsia" w:ascii="宋体" w:hAnsi="宋体" w:eastAsia="宋体" w:cs="宋体"/>
          <w:szCs w:val="21"/>
          <w:lang w:eastAsia="zh-CN"/>
        </w:rPr>
        <w:t>、</w:t>
      </w:r>
      <w:r>
        <w:rPr>
          <w:rFonts w:hint="eastAsia" w:ascii="宋体" w:hAnsi="宋体" w:eastAsia="宋体" w:cs="宋体"/>
          <w:szCs w:val="21"/>
        </w:rPr>
        <w:t>红细胞沉降率（ESR）等多项目一管血全自动检测，检测结果可用于临床血液系统疾病筛查、感染性疾病辅助诊断及疗效监测。仪器须具备生物安全防护、防交叉污染设计，满足临床检验科日常血液检测工作需求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</w:p>
    <w:bookmarkEnd w:id="0"/>
    <w:p w14:paraId="502A7F2B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四、技术参数：</w:t>
      </w:r>
    </w:p>
    <w:p w14:paraId="1BCF7FF1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bookmarkStart w:id="1" w:name="OLE_LINK1"/>
      <w:r>
        <w:rPr>
          <w:rFonts w:hint="eastAsia" w:ascii="宋体" w:hAnsi="宋体" w:eastAsia="宋体" w:cs="宋体"/>
          <w:szCs w:val="21"/>
        </w:rPr>
        <w:t>1</w:t>
      </w:r>
      <w:r>
        <w:rPr>
          <w:rFonts w:hint="eastAsia" w:ascii="宋体" w:hAnsi="宋体" w:eastAsia="宋体" w:cs="宋体"/>
          <w:szCs w:val="21"/>
          <w:lang w:eastAsia="zh-CN"/>
        </w:rPr>
        <w:t>、</w:t>
      </w:r>
      <w:r>
        <w:rPr>
          <w:rFonts w:hint="eastAsia" w:ascii="宋体" w:hAnsi="宋体" w:eastAsia="宋体" w:cs="宋体"/>
          <w:szCs w:val="21"/>
        </w:rPr>
        <w:t>标本类型：支持抗凝静脉全血、末梢全血、预稀释末梢血标本检测。</w:t>
      </w:r>
    </w:p>
    <w:p w14:paraId="4D6D83FF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</w:t>
      </w:r>
      <w:r>
        <w:rPr>
          <w:rFonts w:hint="eastAsia" w:ascii="宋体" w:hAnsi="宋体" w:eastAsia="宋体" w:cs="宋体"/>
          <w:szCs w:val="21"/>
          <w:lang w:eastAsia="zh-CN"/>
        </w:rPr>
        <w:t>、</w:t>
      </w:r>
      <w:r>
        <w:rPr>
          <w:rFonts w:hint="eastAsia" w:ascii="宋体" w:hAnsi="宋体" w:eastAsia="宋体" w:cs="宋体"/>
          <w:szCs w:val="21"/>
        </w:rPr>
        <w:t>样本用量：全血CBC+DIFF 模式≤25μL；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</w:rPr>
        <w:t>CD+CRP模式≤3</w:t>
      </w:r>
      <w:r>
        <w:rPr>
          <w:rFonts w:hint="eastAsia" w:ascii="宋体" w:hAnsi="宋体" w:eastAsia="宋体" w:cs="宋体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Cs w:val="21"/>
        </w:rPr>
        <w:t>uL；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</w:rPr>
        <w:t>CD+CRP+SAA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</w:rPr>
        <w:t>模式:≤3</w:t>
      </w:r>
      <w:r>
        <w:rPr>
          <w:rFonts w:hint="eastAsia" w:ascii="宋体" w:hAnsi="宋体" w:eastAsia="宋体" w:cs="宋体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Cs w:val="21"/>
        </w:rPr>
        <w:t>uL。</w:t>
      </w:r>
    </w:p>
    <w:p w14:paraId="0293D74A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</w:t>
      </w:r>
      <w:r>
        <w:rPr>
          <w:rFonts w:hint="eastAsia" w:ascii="宋体" w:hAnsi="宋体" w:eastAsia="宋体" w:cs="宋体"/>
          <w:szCs w:val="21"/>
          <w:lang w:eastAsia="zh-CN"/>
        </w:rPr>
        <w:t>、</w:t>
      </w:r>
      <w:r>
        <w:rPr>
          <w:rFonts w:hint="eastAsia" w:ascii="宋体" w:hAnsi="宋体" w:eastAsia="宋体" w:cs="宋体"/>
          <w:szCs w:val="21"/>
        </w:rPr>
        <w:t>检测通量：CBC+DIFF模式检测速度≥80样本/小时；CBC+DIFF+ESR模式≥40样本/小时。</w:t>
      </w:r>
    </w:p>
    <w:p w14:paraId="70D87A53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4</w:t>
      </w:r>
      <w:r>
        <w:rPr>
          <w:rFonts w:hint="eastAsia" w:ascii="宋体" w:hAnsi="宋体" w:eastAsia="宋体" w:cs="宋体"/>
          <w:szCs w:val="21"/>
          <w:lang w:eastAsia="zh-CN"/>
        </w:rPr>
        <w:t>、</w:t>
      </w:r>
      <w:r>
        <w:rPr>
          <w:rFonts w:hint="eastAsia" w:ascii="宋体" w:hAnsi="宋体" w:eastAsia="宋体" w:cs="宋体"/>
          <w:szCs w:val="21"/>
        </w:rPr>
        <w:t>检测原理：白细胞五分类采用激光流式 + 核酸荧光染色多维分析技术；红细胞、血小板采用鞘流阻抗法；血红蛋白采用无氰比色法；血沉采用光度检测法；CRP、SAA 采用免疫比浊法。</w:t>
      </w:r>
    </w:p>
    <w:p w14:paraId="6369BD70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5</w:t>
      </w:r>
      <w:r>
        <w:rPr>
          <w:rFonts w:hint="eastAsia" w:ascii="宋体" w:hAnsi="宋体" w:eastAsia="宋体" w:cs="宋体"/>
          <w:szCs w:val="21"/>
          <w:lang w:eastAsia="zh-CN"/>
        </w:rPr>
        <w:t>、</w:t>
      </w:r>
      <w:r>
        <w:rPr>
          <w:rFonts w:hint="eastAsia" w:ascii="宋体" w:hAnsi="宋体" w:eastAsia="宋体" w:cs="宋体"/>
          <w:szCs w:val="21"/>
        </w:rPr>
        <w:t>检测参数：可报告临床参数≥35 项，包含白细胞五分类、未成熟粒细胞（IMG）、光学血小板（PLT-O）、有核红细胞（NRBC）、血沉（ESR）、CRP、SAA 等；同步输出≥2 个直方图、≥3 个细胞散点图。</w:t>
      </w:r>
    </w:p>
    <w:p w14:paraId="32B4F37E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color w:val="auto"/>
          <w:szCs w:val="21"/>
        </w:rPr>
      </w:pPr>
      <w:bookmarkStart w:id="2" w:name="OLE_LINK5"/>
      <w:r>
        <w:rPr>
          <w:rFonts w:hint="eastAsia" w:ascii="宋体" w:hAnsi="宋体" w:eastAsia="宋体" w:cs="宋体"/>
          <w:szCs w:val="21"/>
        </w:rPr>
        <w:t>6. 性能特点：具备低值白细胞、低值血小板增强计数模式；具备血小板聚集识别优化机制；高值 SAA 样本可自动识别并支持稀释重测；具备不少于 40 项细胞异常报警提示，覆盖白细胞、红细胞、血</w:t>
      </w:r>
      <w:r>
        <w:rPr>
          <w:rFonts w:hint="eastAsia" w:ascii="宋体" w:hAnsi="宋体" w:eastAsia="宋体" w:cs="宋体"/>
          <w:color w:val="auto"/>
          <w:szCs w:val="21"/>
        </w:rPr>
        <w:t>小板形态异常预警。</w:t>
      </w:r>
    </w:p>
    <w:bookmarkEnd w:id="2"/>
    <w:p w14:paraId="2397E1A0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7. 生物安全：支持全自动闭盖穿刺进样，降低气溶胶扩散风险；仪器配备自动清洗、管路消毒程序，减少样本交叉污染；具备故障安全锁定机制，保障操作安全。。</w:t>
      </w:r>
    </w:p>
    <w:p w14:paraId="38456EBE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8. 运行监控：配备彩色触控显示屏，可实时模拟仪器运行状态、显示检测进度与图形结果。</w:t>
      </w:r>
    </w:p>
    <w:p w14:paraId="5329CEE0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9. 操作提示：支持样本架连续上机检测；实时监控试剂余量，耗材不足、放置异常时主动提示；设备故障可输出故障代码与故障说明，便于快速排查维护。</w:t>
      </w:r>
    </w:p>
    <w:p w14:paraId="069D5907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bookmarkStart w:id="3" w:name="OLE_LINK4"/>
      <w:r>
        <w:rPr>
          <w:rFonts w:hint="eastAsia" w:ascii="宋体" w:hAnsi="宋体" w:eastAsia="宋体" w:cs="宋体"/>
          <w:szCs w:val="21"/>
        </w:rPr>
        <w:t>10.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</w:rPr>
        <w:t>产品要求：产品</w:t>
      </w:r>
      <w:r>
        <w:rPr>
          <w:rFonts w:hint="eastAsia" w:ascii="宋体" w:hAnsi="宋体" w:eastAsia="宋体" w:cs="宋体"/>
          <w:szCs w:val="21"/>
          <w:lang w:val="en-US" w:eastAsia="zh-CN"/>
        </w:rPr>
        <w:t>须</w:t>
      </w:r>
      <w:r>
        <w:rPr>
          <w:rFonts w:hint="eastAsia" w:ascii="宋体" w:hAnsi="宋体" w:eastAsia="宋体" w:cs="宋体"/>
          <w:szCs w:val="21"/>
        </w:rPr>
        <w:t>为全新原厂整机；取得国家药品监督管理局颁发的第二类医疗器械注册证，具备合法资质，相关资质文件齐全；设备出厂生产日期距离供货验收日期不超过 1</w:t>
      </w:r>
      <w:r>
        <w:rPr>
          <w:rFonts w:hint="eastAsia" w:ascii="宋体" w:hAnsi="宋体" w:eastAsia="宋体" w:cs="宋体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Cs w:val="21"/>
        </w:rPr>
        <w:t>个月。</w:t>
      </w:r>
    </w:p>
    <w:bookmarkEnd w:id="1"/>
    <w:bookmarkEnd w:id="3"/>
    <w:p w14:paraId="2F09AD83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bookmarkStart w:id="4" w:name="OLE_LINK2"/>
      <w:r>
        <w:rPr>
          <w:rFonts w:hint="eastAsia" w:ascii="宋体" w:hAnsi="宋体" w:eastAsia="宋体" w:cs="宋体"/>
          <w:szCs w:val="21"/>
        </w:rPr>
        <w:t>11. 运行记录：支持存储≥15 万份检测结果（包含检测数值、直方图、散点图等图形信息），可保存检测时间、检测程序、质控相关数据，满足数据溯源及导出需求；配备配套数据管理软件。</w:t>
      </w:r>
    </w:p>
    <w:p w14:paraId="121BE9A6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12、耗材报价：须提供适配本机的配套试剂、校准品、质控品分项报价清单，列明试剂规格、单价、单测试预估成本；所有配套试剂须具备有效医疗器械注册证，承诺保障长期稳定供货。</w:t>
      </w:r>
    </w:p>
    <w:bookmarkEnd w:id="4"/>
    <w:p w14:paraId="753B026C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五、售后要求：</w:t>
      </w:r>
    </w:p>
    <w:p w14:paraId="73A51671">
      <w:pPr>
        <w:numPr>
          <w:ilvl w:val="0"/>
          <w:numId w:val="0"/>
        </w:num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1.需提供</w:t>
      </w:r>
      <w:r>
        <w:rPr>
          <w:rFonts w:hint="eastAsia" w:ascii="宋体" w:hAnsi="宋体" w:eastAsia="宋体" w:cs="宋体"/>
          <w:szCs w:val="21"/>
        </w:rPr>
        <w:t>现场培训</w:t>
      </w:r>
      <w:r>
        <w:rPr>
          <w:rFonts w:hint="eastAsia" w:ascii="宋体" w:hAnsi="宋体" w:eastAsia="宋体" w:cs="宋体"/>
          <w:szCs w:val="21"/>
          <w:lang w:eastAsia="zh-CN"/>
        </w:rPr>
        <w:t>及相应培训产品、试剂和耗材。</w:t>
      </w:r>
    </w:p>
    <w:p w14:paraId="186CBE20">
      <w:pPr>
        <w:numPr>
          <w:ilvl w:val="0"/>
          <w:numId w:val="0"/>
        </w:num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bookmarkStart w:id="5" w:name="OLE_LINK6"/>
      <w:r>
        <w:rPr>
          <w:rFonts w:hint="eastAsia" w:ascii="宋体" w:hAnsi="宋体" w:eastAsia="宋体" w:cs="宋体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Cs w:val="21"/>
        </w:rPr>
        <w:t>设备验收合格后，在整机有效使用周期内终身提供上门检修、故障排查、仪器校准、常规保养等服务，免收上门费、维修工时费及维修所需零配件费用；</w:t>
      </w:r>
    </w:p>
    <w:bookmarkEnd w:id="5"/>
    <w:p w14:paraId="725F6B05">
      <w:pPr>
        <w:numPr>
          <w:ilvl w:val="0"/>
          <w:numId w:val="0"/>
        </w:num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3. 提供完整的中文操作手册、维护手册及软件使用说明。</w:t>
      </w:r>
    </w:p>
    <w:p w14:paraId="50FD89AE">
      <w:pPr>
        <w:numPr>
          <w:ilvl w:val="0"/>
          <w:numId w:val="0"/>
        </w:numPr>
        <w:adjustRightInd w:val="0"/>
        <w:snapToGrid w:val="0"/>
        <w:spacing w:line="360" w:lineRule="auto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</w:p>
    <w:p w14:paraId="38C9248B">
      <w:pPr>
        <w:tabs>
          <w:tab w:val="left" w:pos="993"/>
          <w:tab w:val="left" w:pos="1134"/>
          <w:tab w:val="left" w:pos="1418"/>
        </w:tabs>
        <w:spacing w:line="400" w:lineRule="exact"/>
        <w:rPr>
          <w:rFonts w:hint="eastAsia" w:ascii="宋体" w:hAnsi="宋体" w:eastAsia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六、其他配置要求：</w:t>
      </w:r>
    </w:p>
    <w:tbl>
      <w:tblPr>
        <w:tblStyle w:val="8"/>
        <w:tblpPr w:leftFromText="180" w:rightFromText="180" w:vertAnchor="text" w:horzAnchor="page" w:tblpX="2076" w:tblpY="62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8"/>
        <w:gridCol w:w="1302"/>
        <w:gridCol w:w="3906"/>
      </w:tblGrid>
      <w:tr w14:paraId="2A99C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08" w:type="dxa"/>
          </w:tcPr>
          <w:p w14:paraId="052A6553"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组件</w:t>
            </w:r>
          </w:p>
        </w:tc>
        <w:tc>
          <w:tcPr>
            <w:tcW w:w="1302" w:type="dxa"/>
          </w:tcPr>
          <w:p w14:paraId="4E2F45A9"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数量</w:t>
            </w:r>
          </w:p>
        </w:tc>
        <w:tc>
          <w:tcPr>
            <w:tcW w:w="3906" w:type="dxa"/>
          </w:tcPr>
          <w:p w14:paraId="6842FEA8"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备注</w:t>
            </w:r>
          </w:p>
        </w:tc>
      </w:tr>
      <w:tr w14:paraId="352E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8" w:type="dxa"/>
          </w:tcPr>
          <w:p w14:paraId="795603BD"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维护工具</w:t>
            </w:r>
          </w:p>
        </w:tc>
        <w:tc>
          <w:tcPr>
            <w:tcW w:w="1302" w:type="dxa"/>
          </w:tcPr>
          <w:p w14:paraId="2C2947EB"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1套</w:t>
            </w:r>
          </w:p>
        </w:tc>
        <w:tc>
          <w:tcPr>
            <w:tcW w:w="3906" w:type="dxa"/>
          </w:tcPr>
          <w:p w14:paraId="73F1B74E"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用于日常使用者维护，清洁</w:t>
            </w:r>
          </w:p>
        </w:tc>
      </w:tr>
      <w:tr w14:paraId="2DF4A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8" w:type="dxa"/>
          </w:tcPr>
          <w:p w14:paraId="17795D9B"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其他附件</w:t>
            </w:r>
          </w:p>
        </w:tc>
        <w:tc>
          <w:tcPr>
            <w:tcW w:w="1302" w:type="dxa"/>
          </w:tcPr>
          <w:p w14:paraId="6B2EC456"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若干</w:t>
            </w:r>
          </w:p>
        </w:tc>
        <w:tc>
          <w:tcPr>
            <w:tcW w:w="3906" w:type="dxa"/>
          </w:tcPr>
          <w:p w14:paraId="7574A7AC">
            <w:pPr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按设备需求，配置相应附件</w:t>
            </w:r>
          </w:p>
        </w:tc>
      </w:tr>
    </w:tbl>
    <w:p w14:paraId="67547719">
      <w:pPr>
        <w:spacing w:line="480" w:lineRule="auto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CA3C99"/>
    <w:multiLevelType w:val="singleLevel"/>
    <w:tmpl w:val="EACA3C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yNDNjZWRhY2RkY2E1MjRhZTRmMWFmNDc0NGI4ODEifQ=="/>
  </w:docVars>
  <w:rsids>
    <w:rsidRoot w:val="0095624D"/>
    <w:rsid w:val="000308BB"/>
    <w:rsid w:val="000C10B7"/>
    <w:rsid w:val="000E44B7"/>
    <w:rsid w:val="00122205"/>
    <w:rsid w:val="00140FE6"/>
    <w:rsid w:val="00145896"/>
    <w:rsid w:val="00172055"/>
    <w:rsid w:val="00174969"/>
    <w:rsid w:val="001A59C0"/>
    <w:rsid w:val="00224B6E"/>
    <w:rsid w:val="00235CC3"/>
    <w:rsid w:val="00254704"/>
    <w:rsid w:val="002666ED"/>
    <w:rsid w:val="00267108"/>
    <w:rsid w:val="002819E0"/>
    <w:rsid w:val="002C79CA"/>
    <w:rsid w:val="002E61C1"/>
    <w:rsid w:val="00303F22"/>
    <w:rsid w:val="0030788A"/>
    <w:rsid w:val="00333476"/>
    <w:rsid w:val="0035411D"/>
    <w:rsid w:val="003734E3"/>
    <w:rsid w:val="00383DB6"/>
    <w:rsid w:val="003A57CA"/>
    <w:rsid w:val="003B01AA"/>
    <w:rsid w:val="003E04B3"/>
    <w:rsid w:val="0040322E"/>
    <w:rsid w:val="00467C98"/>
    <w:rsid w:val="00483114"/>
    <w:rsid w:val="00483620"/>
    <w:rsid w:val="004A6821"/>
    <w:rsid w:val="004A76EE"/>
    <w:rsid w:val="004C58A0"/>
    <w:rsid w:val="004D0E43"/>
    <w:rsid w:val="004D18E2"/>
    <w:rsid w:val="004F5DD8"/>
    <w:rsid w:val="005007BB"/>
    <w:rsid w:val="0051790A"/>
    <w:rsid w:val="00527226"/>
    <w:rsid w:val="00555A7F"/>
    <w:rsid w:val="00577345"/>
    <w:rsid w:val="005A3CAD"/>
    <w:rsid w:val="005A67B2"/>
    <w:rsid w:val="005B6FB5"/>
    <w:rsid w:val="005E63D8"/>
    <w:rsid w:val="005F605F"/>
    <w:rsid w:val="00632084"/>
    <w:rsid w:val="00632B1C"/>
    <w:rsid w:val="006709F2"/>
    <w:rsid w:val="006A1BA3"/>
    <w:rsid w:val="006B0624"/>
    <w:rsid w:val="006B4122"/>
    <w:rsid w:val="006F4883"/>
    <w:rsid w:val="007029CD"/>
    <w:rsid w:val="007245C5"/>
    <w:rsid w:val="00753F8F"/>
    <w:rsid w:val="00755175"/>
    <w:rsid w:val="00781A02"/>
    <w:rsid w:val="007844B7"/>
    <w:rsid w:val="007B17AF"/>
    <w:rsid w:val="007B6CB7"/>
    <w:rsid w:val="007D1163"/>
    <w:rsid w:val="00817388"/>
    <w:rsid w:val="0087100D"/>
    <w:rsid w:val="008A582F"/>
    <w:rsid w:val="008C6A19"/>
    <w:rsid w:val="008D40E4"/>
    <w:rsid w:val="009116C7"/>
    <w:rsid w:val="00921254"/>
    <w:rsid w:val="0095624D"/>
    <w:rsid w:val="009773C0"/>
    <w:rsid w:val="00977B14"/>
    <w:rsid w:val="00980B15"/>
    <w:rsid w:val="009A5DBF"/>
    <w:rsid w:val="009A75D4"/>
    <w:rsid w:val="009B455E"/>
    <w:rsid w:val="009E7E4B"/>
    <w:rsid w:val="00A00CF1"/>
    <w:rsid w:val="00A214FB"/>
    <w:rsid w:val="00A267CD"/>
    <w:rsid w:val="00A566FD"/>
    <w:rsid w:val="00A67ABB"/>
    <w:rsid w:val="00AC3576"/>
    <w:rsid w:val="00B26EA4"/>
    <w:rsid w:val="00B71D4C"/>
    <w:rsid w:val="00B73346"/>
    <w:rsid w:val="00BC602A"/>
    <w:rsid w:val="00BD1B60"/>
    <w:rsid w:val="00C15814"/>
    <w:rsid w:val="00C41A4C"/>
    <w:rsid w:val="00CE1A54"/>
    <w:rsid w:val="00CE6CA8"/>
    <w:rsid w:val="00CF5ABD"/>
    <w:rsid w:val="00D0174D"/>
    <w:rsid w:val="00D223DD"/>
    <w:rsid w:val="00D7380F"/>
    <w:rsid w:val="00DA429F"/>
    <w:rsid w:val="00DA6AEF"/>
    <w:rsid w:val="00DD02AC"/>
    <w:rsid w:val="00DD0AC1"/>
    <w:rsid w:val="00DE0129"/>
    <w:rsid w:val="00DE26A2"/>
    <w:rsid w:val="00DF52D8"/>
    <w:rsid w:val="00DF62F0"/>
    <w:rsid w:val="00E27B99"/>
    <w:rsid w:val="00E40A80"/>
    <w:rsid w:val="00E64D6D"/>
    <w:rsid w:val="00E7780D"/>
    <w:rsid w:val="00E85346"/>
    <w:rsid w:val="00EA3528"/>
    <w:rsid w:val="00EC7D45"/>
    <w:rsid w:val="00F10255"/>
    <w:rsid w:val="00F120F2"/>
    <w:rsid w:val="00F1594D"/>
    <w:rsid w:val="00F2246A"/>
    <w:rsid w:val="00F5488A"/>
    <w:rsid w:val="00F67D85"/>
    <w:rsid w:val="00FA3E79"/>
    <w:rsid w:val="00FF3DA2"/>
    <w:rsid w:val="034C72DC"/>
    <w:rsid w:val="04626346"/>
    <w:rsid w:val="074C4677"/>
    <w:rsid w:val="08D86F1C"/>
    <w:rsid w:val="09AF0F46"/>
    <w:rsid w:val="09D311FE"/>
    <w:rsid w:val="0E7F04C1"/>
    <w:rsid w:val="10652DCE"/>
    <w:rsid w:val="12665599"/>
    <w:rsid w:val="13BC73D2"/>
    <w:rsid w:val="1408260E"/>
    <w:rsid w:val="177C46C8"/>
    <w:rsid w:val="19E971DB"/>
    <w:rsid w:val="1CD32EE6"/>
    <w:rsid w:val="1E0E02DD"/>
    <w:rsid w:val="1FD61FB0"/>
    <w:rsid w:val="20890647"/>
    <w:rsid w:val="21893172"/>
    <w:rsid w:val="25826736"/>
    <w:rsid w:val="27934C2A"/>
    <w:rsid w:val="27D92EDF"/>
    <w:rsid w:val="2BD1187D"/>
    <w:rsid w:val="2D447E18"/>
    <w:rsid w:val="2DD1025A"/>
    <w:rsid w:val="2E7157C2"/>
    <w:rsid w:val="2F4C0F85"/>
    <w:rsid w:val="2FD7142C"/>
    <w:rsid w:val="344A48C2"/>
    <w:rsid w:val="35832E23"/>
    <w:rsid w:val="35C10BB4"/>
    <w:rsid w:val="368B03D5"/>
    <w:rsid w:val="368C4D1E"/>
    <w:rsid w:val="37B70636"/>
    <w:rsid w:val="3C9D39E4"/>
    <w:rsid w:val="3D474095"/>
    <w:rsid w:val="41F857B7"/>
    <w:rsid w:val="421F694C"/>
    <w:rsid w:val="434D1CD9"/>
    <w:rsid w:val="43721740"/>
    <w:rsid w:val="466B5129"/>
    <w:rsid w:val="47D96A51"/>
    <w:rsid w:val="49725FF6"/>
    <w:rsid w:val="4C3221AC"/>
    <w:rsid w:val="4D38363C"/>
    <w:rsid w:val="4D90674F"/>
    <w:rsid w:val="4EDE412D"/>
    <w:rsid w:val="4F626B0C"/>
    <w:rsid w:val="53D52762"/>
    <w:rsid w:val="56CE3BAA"/>
    <w:rsid w:val="58C40ADE"/>
    <w:rsid w:val="5A623E64"/>
    <w:rsid w:val="5E8720EC"/>
    <w:rsid w:val="606715C2"/>
    <w:rsid w:val="61A45B43"/>
    <w:rsid w:val="61C14EEC"/>
    <w:rsid w:val="628D3A49"/>
    <w:rsid w:val="68D155E7"/>
    <w:rsid w:val="6C4D49E3"/>
    <w:rsid w:val="6D30394E"/>
    <w:rsid w:val="71DC772B"/>
    <w:rsid w:val="7539590B"/>
    <w:rsid w:val="77977CD5"/>
    <w:rsid w:val="78866B18"/>
    <w:rsid w:val="79BC5C1C"/>
    <w:rsid w:val="7B75642B"/>
    <w:rsid w:val="7B8848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semiHidden/>
    <w:qFormat/>
    <w:uiPriority w:val="0"/>
    <w:pPr>
      <w:adjustRightInd w:val="0"/>
      <w:spacing w:before="120"/>
      <w:textAlignment w:val="baseline"/>
    </w:pPr>
    <w:rPr>
      <w:rFonts w:eastAsia="微软雅黑" w:cs="Arial"/>
      <w:kern w:val="0"/>
      <w:sz w:val="24"/>
      <w:szCs w:val="20"/>
      <w:lang w:eastAsia="ja-JP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3"/>
    <w:qFormat/>
    <w:uiPriority w:val="99"/>
    <w:rPr>
      <w:sz w:val="18"/>
      <w:szCs w:val="18"/>
    </w:rPr>
  </w:style>
  <w:style w:type="character" w:customStyle="1" w:styleId="12">
    <w:name w:val="标题 字符"/>
    <w:link w:val="6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3">
    <w:name w:val="标题 Char1"/>
    <w:basedOn w:val="9"/>
    <w:qFormat/>
    <w:uiPriority w:val="10"/>
    <w:rPr>
      <w:rFonts w:eastAsia="宋体" w:asciiTheme="majorHAnsi" w:hAnsiTheme="majorHAnsi" w:cstheme="majorBidi"/>
      <w:b/>
      <w:bCs/>
      <w:kern w:val="2"/>
      <w:sz w:val="32"/>
      <w:szCs w:val="32"/>
    </w:rPr>
  </w:style>
  <w:style w:type="paragraph" w:styleId="14">
    <w:name w:val="List Paragraph"/>
    <w:basedOn w:val="1"/>
    <w:qFormat/>
    <w:uiPriority w:val="34"/>
    <w:pPr>
      <w:spacing w:line="460" w:lineRule="exact"/>
      <w:ind w:firstLine="420" w:firstLineChars="200"/>
    </w:pPr>
    <w:rPr>
      <w:rFonts w:eastAsia="宋体"/>
    </w:rPr>
  </w:style>
  <w:style w:type="character" w:customStyle="1" w:styleId="15">
    <w:name w:val="Body text|1_"/>
    <w:basedOn w:val="9"/>
    <w:link w:val="16"/>
    <w:qFormat/>
    <w:uiPriority w:val="0"/>
    <w:rPr>
      <w:rFonts w:ascii="宋体" w:hAnsi="宋体" w:eastAsia="宋体" w:cs="宋体"/>
      <w:color w:val="000000"/>
      <w:sz w:val="24"/>
      <w:szCs w:val="24"/>
      <w:lang w:val="zh-TW" w:eastAsia="zh-TW" w:bidi="zh-TW"/>
    </w:rPr>
  </w:style>
  <w:style w:type="paragraph" w:customStyle="1" w:styleId="16">
    <w:name w:val="Body text|1"/>
    <w:basedOn w:val="1"/>
    <w:link w:val="15"/>
    <w:qFormat/>
    <w:uiPriority w:val="0"/>
    <w:pPr>
      <w:spacing w:line="480" w:lineRule="auto"/>
      <w:ind w:firstLine="400"/>
      <w:jc w:val="left"/>
    </w:pPr>
    <w:rPr>
      <w:rFonts w:ascii="宋体" w:hAnsi="宋体" w:eastAsia="宋体" w:cs="宋体"/>
      <w:color w:val="000000"/>
      <w:kern w:val="0"/>
      <w:sz w:val="24"/>
      <w:szCs w:val="24"/>
      <w:lang w:val="zh-TW" w:eastAsia="zh-TW" w:bidi="zh-TW"/>
    </w:rPr>
  </w:style>
  <w:style w:type="paragraph" w:customStyle="1" w:styleId="1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9BBA22-E9C5-40FC-9374-A3EDC4585C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1230</Words>
  <Characters>1323</Characters>
  <Lines>2</Lines>
  <Paragraphs>1</Paragraphs>
  <TotalTime>125</TotalTime>
  <ScaleCrop>false</ScaleCrop>
  <LinksUpToDate>false</LinksUpToDate>
  <CharactersWithSpaces>1349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2021-03-17T03:22:00Z</dcterms:created>
  <dc:creator>Liangyb</dc:creator>
  <cp:lastModifiedBy>蔡爱英</cp:lastModifiedBy>
  <dcterms:modified xsi:type="dcterms:W3CDTF">2026-08-12T01:49:06Z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35E71F00B9F146A089C416B66F0B606F_13</vt:lpwstr>
  </property>
  <property fmtid="{D5CDD505-2E9C-101B-9397-08002B2CF9AE}" pid="4" name="KSOTemplateDocerSaveRecord">
    <vt:lpwstr>eyJoZGlkIjoiZjMyZTNhNTFmZWNlMTJjN2QzOGMzZTg4NThhYzUwODciLCJ1c2VySWQiOiIxNzczMTc4ODk2In0=</vt:lpwstr>
  </property>
</Properties>
</file>