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93A91">
      <w:pPr>
        <w:spacing w:line="31" w:lineRule="exact"/>
        <w:rPr>
          <w:rFonts w:hint="default" w:eastAsia="宋体"/>
          <w:lang w:val="en-US" w:eastAsia="zh-CN"/>
        </w:rPr>
      </w:pPr>
    </w:p>
    <w:p w14:paraId="08BD327B">
      <w:pPr>
        <w:spacing w:line="31" w:lineRule="exact"/>
        <w:rPr>
          <w:rFonts w:hint="default" w:eastAsia="宋体"/>
          <w:lang w:val="en-US" w:eastAsia="zh-CN"/>
        </w:rPr>
      </w:pPr>
    </w:p>
    <w:p w14:paraId="1E787126">
      <w:pPr>
        <w:spacing w:line="31" w:lineRule="exact"/>
        <w:rPr>
          <w:rFonts w:hint="default" w:eastAsia="宋体"/>
          <w:lang w:val="en-US" w:eastAsia="zh-CN"/>
        </w:rPr>
      </w:pPr>
    </w:p>
    <w:p w14:paraId="68873BD6">
      <w:pPr>
        <w:spacing w:line="31" w:lineRule="exact"/>
        <w:rPr>
          <w:rFonts w:hint="default" w:eastAsia="宋体"/>
          <w:lang w:val="en-US" w:eastAsia="zh-CN"/>
        </w:rPr>
      </w:pPr>
    </w:p>
    <w:p w14:paraId="2EA397A4">
      <w:pPr>
        <w:spacing w:line="31" w:lineRule="exact"/>
        <w:rPr>
          <w:rFonts w:hint="default" w:eastAsia="宋体"/>
          <w:lang w:val="en-US" w:eastAsia="zh-CN"/>
        </w:rPr>
      </w:pPr>
      <w:bookmarkStart w:id="0" w:name="_GoBack"/>
      <w:bookmarkEnd w:id="0"/>
    </w:p>
    <w:p w14:paraId="4FB3DB7F">
      <w:pPr>
        <w:spacing w:line="31" w:lineRule="exact"/>
        <w:rPr>
          <w:rFonts w:hint="default" w:eastAsia="宋体"/>
          <w:lang w:val="en-US" w:eastAsia="zh-CN"/>
        </w:rPr>
      </w:pPr>
    </w:p>
    <w:p w14:paraId="4ABF3960">
      <w:pPr>
        <w:spacing w:line="31" w:lineRule="exact"/>
        <w:rPr>
          <w:rFonts w:hint="default" w:eastAsia="宋体"/>
          <w:lang w:val="en-US" w:eastAsia="zh-CN"/>
        </w:rPr>
      </w:pPr>
    </w:p>
    <w:p w14:paraId="1FCEFE3D">
      <w:pPr>
        <w:spacing w:line="31" w:lineRule="exact"/>
      </w:pPr>
    </w:p>
    <w:p w14:paraId="625F81BA">
      <w:pPr>
        <w:spacing w:line="31" w:lineRule="exact"/>
      </w:pPr>
    </w:p>
    <w:p w14:paraId="246F7ACD">
      <w:pPr>
        <w:spacing w:line="31" w:lineRule="exact"/>
      </w:pPr>
    </w:p>
    <w:p w14:paraId="4CAF6276">
      <w:pPr>
        <w:spacing w:line="31" w:lineRule="exact"/>
      </w:pPr>
    </w:p>
    <w:p w14:paraId="63B97FBD">
      <w:pPr>
        <w:spacing w:line="31" w:lineRule="exact"/>
      </w:pPr>
    </w:p>
    <w:p w14:paraId="3E0FA9E2">
      <w:pPr>
        <w:spacing w:line="31" w:lineRule="exact"/>
      </w:pPr>
    </w:p>
    <w:p w14:paraId="0B05C907">
      <w:pPr>
        <w:spacing w:line="31" w:lineRule="exact"/>
      </w:pPr>
    </w:p>
    <w:tbl>
      <w:tblPr>
        <w:tblStyle w:val="7"/>
        <w:tblW w:w="11217" w:type="dxa"/>
        <w:tblInd w:w="3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1649"/>
        <w:gridCol w:w="4893"/>
        <w:gridCol w:w="843"/>
        <w:gridCol w:w="844"/>
        <w:gridCol w:w="1078"/>
        <w:gridCol w:w="1196"/>
      </w:tblGrid>
      <w:tr w14:paraId="48982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4" w:hRule="atLeast"/>
        </w:trPr>
        <w:tc>
          <w:tcPr>
            <w:tcW w:w="11217" w:type="dxa"/>
            <w:gridSpan w:val="7"/>
            <w:vAlign w:val="top"/>
          </w:tcPr>
          <w:p w14:paraId="2F8A2D59">
            <w:pPr>
              <w:pStyle w:val="8"/>
              <w:spacing w:before="163" w:line="219" w:lineRule="auto"/>
              <w:ind w:firstLine="1614" w:firstLineChars="400"/>
              <w:jc w:val="center"/>
              <w:rPr>
                <w:b/>
                <w:bCs/>
                <w:spacing w:val="-4"/>
                <w:sz w:val="41"/>
                <w:szCs w:val="41"/>
              </w:rPr>
            </w:pPr>
            <w:r>
              <w:rPr>
                <w:b/>
                <w:bCs/>
                <w:spacing w:val="-4"/>
                <w:sz w:val="41"/>
                <w:szCs w:val="41"/>
              </w:rPr>
              <w:t>实验室新风系统年度维保项目维保费用</w:t>
            </w:r>
          </w:p>
          <w:p w14:paraId="7F0897A0">
            <w:pPr>
              <w:pStyle w:val="8"/>
              <w:spacing w:before="163" w:line="219" w:lineRule="auto"/>
              <w:ind w:firstLine="1614" w:firstLineChars="400"/>
              <w:jc w:val="center"/>
              <w:rPr>
                <w:rFonts w:hint="default" w:eastAsia="宋体"/>
                <w:sz w:val="41"/>
                <w:szCs w:val="41"/>
                <w:lang w:val="en-US" w:eastAsia="zh-CN"/>
              </w:rPr>
            </w:pPr>
            <w:r>
              <w:rPr>
                <w:rFonts w:hint="eastAsia"/>
                <w:b/>
                <w:bCs/>
                <w:spacing w:val="-4"/>
                <w:sz w:val="41"/>
                <w:szCs w:val="41"/>
                <w:lang w:val="en-US" w:eastAsia="zh-CN"/>
              </w:rPr>
              <w:t>报价表</w:t>
            </w:r>
          </w:p>
        </w:tc>
      </w:tr>
      <w:tr w14:paraId="60DF6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atLeast"/>
        </w:trPr>
        <w:tc>
          <w:tcPr>
            <w:tcW w:w="11217" w:type="dxa"/>
            <w:gridSpan w:val="7"/>
            <w:shd w:val="clear" w:color="auto" w:fill="FFFFFF" w:themeFill="background1"/>
            <w:vAlign w:val="top"/>
          </w:tcPr>
          <w:p w14:paraId="3411B31B">
            <w:pPr>
              <w:pStyle w:val="8"/>
              <w:tabs>
                <w:tab w:val="left" w:pos="1595"/>
              </w:tabs>
              <w:spacing w:before="231" w:line="220" w:lineRule="auto"/>
              <w:jc w:val="left"/>
              <w:rPr>
                <w:rFonts w:hint="default" w:eastAsia="宋体"/>
                <w:spacing w:val="6"/>
                <w:sz w:val="24"/>
                <w:szCs w:val="24"/>
                <w:lang w:val="en-US" w:eastAsia="zh-CN"/>
              </w:rPr>
            </w:pPr>
            <w:r>
              <w:rPr>
                <w:rFonts w:hint="eastAsia"/>
                <w:b/>
                <w:bCs/>
                <w:spacing w:val="6"/>
                <w:sz w:val="24"/>
                <w:szCs w:val="24"/>
                <w:lang w:val="en-US" w:eastAsia="zh-CN"/>
              </w:rPr>
              <w:t xml:space="preserve">报价单位（公章)：                                    </w:t>
            </w:r>
            <w:r>
              <w:rPr>
                <w:rFonts w:hint="eastAsia"/>
                <w:b w:val="0"/>
                <w:bCs w:val="0"/>
                <w:spacing w:val="6"/>
                <w:sz w:val="24"/>
                <w:szCs w:val="24"/>
                <w:lang w:val="en-US" w:eastAsia="zh-CN"/>
              </w:rPr>
              <w:t xml:space="preserve"> 联系人：        联系电话：</w:t>
            </w:r>
          </w:p>
        </w:tc>
      </w:tr>
      <w:tr w14:paraId="595FC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714" w:type="dxa"/>
            <w:shd w:val="clear" w:color="auto" w:fill="FFFFFF" w:themeFill="background1"/>
            <w:vAlign w:val="center"/>
          </w:tcPr>
          <w:p w14:paraId="0E8E92DE">
            <w:pPr>
              <w:pStyle w:val="8"/>
              <w:spacing w:before="228" w:line="221" w:lineRule="auto"/>
              <w:ind w:left="108"/>
              <w:jc w:val="center"/>
              <w:rPr>
                <w:sz w:val="24"/>
                <w:szCs w:val="24"/>
              </w:rPr>
            </w:pPr>
            <w:r>
              <w:rPr>
                <w:b/>
                <w:bCs/>
                <w:spacing w:val="-5"/>
                <w:sz w:val="24"/>
                <w:szCs w:val="24"/>
              </w:rPr>
              <w:t>序号</w:t>
            </w:r>
          </w:p>
        </w:tc>
        <w:tc>
          <w:tcPr>
            <w:tcW w:w="1649" w:type="dxa"/>
            <w:shd w:val="clear" w:color="auto" w:fill="FFFFFF" w:themeFill="background1"/>
            <w:vAlign w:val="center"/>
          </w:tcPr>
          <w:p w14:paraId="14522257">
            <w:pPr>
              <w:pStyle w:val="8"/>
              <w:tabs>
                <w:tab w:val="left" w:pos="840"/>
              </w:tabs>
              <w:spacing w:before="228" w:line="220" w:lineRule="auto"/>
              <w:ind w:left="371"/>
              <w:jc w:val="center"/>
              <w:rPr>
                <w:sz w:val="24"/>
                <w:szCs w:val="24"/>
              </w:rPr>
            </w:pPr>
            <w:r>
              <w:rPr>
                <w:rFonts w:hint="eastAsia"/>
                <w:b/>
                <w:bCs/>
                <w:sz w:val="24"/>
                <w:szCs w:val="24"/>
                <w:lang w:val="en-US" w:eastAsia="zh-CN"/>
              </w:rPr>
              <w:t>报价细</w:t>
            </w:r>
            <w:r>
              <w:rPr>
                <w:b/>
                <w:bCs/>
                <w:sz w:val="24"/>
                <w:szCs w:val="24"/>
              </w:rPr>
              <w:t>项</w:t>
            </w:r>
          </w:p>
        </w:tc>
        <w:tc>
          <w:tcPr>
            <w:tcW w:w="4893" w:type="dxa"/>
            <w:shd w:val="clear" w:color="auto" w:fill="FFFFFF" w:themeFill="background1"/>
            <w:vAlign w:val="center"/>
          </w:tcPr>
          <w:p w14:paraId="37CB0E1D">
            <w:pPr>
              <w:pStyle w:val="8"/>
              <w:spacing w:before="227" w:line="219" w:lineRule="auto"/>
              <w:jc w:val="center"/>
              <w:rPr>
                <w:rFonts w:hint="default" w:eastAsia="宋体"/>
                <w:sz w:val="24"/>
                <w:szCs w:val="24"/>
                <w:lang w:val="en-US" w:eastAsia="zh-CN"/>
              </w:rPr>
            </w:pPr>
            <w:r>
              <w:rPr>
                <w:rFonts w:hint="eastAsia"/>
                <w:b/>
                <w:bCs/>
                <w:spacing w:val="-1"/>
                <w:sz w:val="24"/>
                <w:szCs w:val="24"/>
                <w:lang w:val="en-US" w:eastAsia="zh-CN"/>
              </w:rPr>
              <w:t>报价</w:t>
            </w:r>
            <w:r>
              <w:rPr>
                <w:b/>
                <w:bCs/>
                <w:spacing w:val="-1"/>
                <w:sz w:val="24"/>
                <w:szCs w:val="24"/>
              </w:rPr>
              <w:t>明细</w:t>
            </w:r>
            <w:r>
              <w:rPr>
                <w:rFonts w:hint="eastAsia"/>
                <w:b/>
                <w:bCs/>
                <w:spacing w:val="-1"/>
                <w:sz w:val="24"/>
                <w:szCs w:val="24"/>
                <w:lang w:val="en-US" w:eastAsia="zh-CN"/>
              </w:rPr>
              <w:t>包含内容</w:t>
            </w:r>
          </w:p>
        </w:tc>
        <w:tc>
          <w:tcPr>
            <w:tcW w:w="843" w:type="dxa"/>
            <w:shd w:val="clear" w:color="auto" w:fill="FFFFFF" w:themeFill="background1"/>
            <w:vAlign w:val="center"/>
          </w:tcPr>
          <w:p w14:paraId="2DC33900">
            <w:pPr>
              <w:pStyle w:val="8"/>
              <w:spacing w:before="227" w:line="219" w:lineRule="auto"/>
              <w:ind w:left="259"/>
              <w:jc w:val="center"/>
              <w:rPr>
                <w:sz w:val="24"/>
                <w:szCs w:val="24"/>
              </w:rPr>
            </w:pPr>
            <w:r>
              <w:rPr>
                <w:b/>
                <w:bCs/>
                <w:spacing w:val="-6"/>
                <w:sz w:val="24"/>
                <w:szCs w:val="24"/>
              </w:rPr>
              <w:t>数量</w:t>
            </w:r>
          </w:p>
        </w:tc>
        <w:tc>
          <w:tcPr>
            <w:tcW w:w="844" w:type="dxa"/>
            <w:shd w:val="clear" w:color="auto" w:fill="FFFFFF" w:themeFill="background1"/>
            <w:vAlign w:val="center"/>
          </w:tcPr>
          <w:p w14:paraId="78789050">
            <w:pPr>
              <w:pStyle w:val="8"/>
              <w:spacing w:before="228" w:line="220" w:lineRule="auto"/>
              <w:ind w:left="290"/>
              <w:jc w:val="center"/>
              <w:rPr>
                <w:sz w:val="24"/>
                <w:szCs w:val="24"/>
              </w:rPr>
            </w:pPr>
            <w:r>
              <w:rPr>
                <w:b/>
                <w:bCs/>
                <w:spacing w:val="-9"/>
                <w:sz w:val="24"/>
                <w:szCs w:val="24"/>
              </w:rPr>
              <w:t>单位</w:t>
            </w:r>
          </w:p>
        </w:tc>
        <w:tc>
          <w:tcPr>
            <w:tcW w:w="1078" w:type="dxa"/>
            <w:shd w:val="clear" w:color="auto" w:fill="FFFFFF" w:themeFill="background1"/>
            <w:vAlign w:val="center"/>
          </w:tcPr>
          <w:p w14:paraId="7C1171CF">
            <w:pPr>
              <w:pStyle w:val="8"/>
              <w:spacing w:before="228" w:line="218" w:lineRule="auto"/>
              <w:jc w:val="center"/>
              <w:rPr>
                <w:spacing w:val="6"/>
                <w:sz w:val="24"/>
                <w:szCs w:val="24"/>
              </w:rPr>
            </w:pPr>
            <w:r>
              <w:rPr>
                <w:spacing w:val="6"/>
                <w:sz w:val="24"/>
                <w:szCs w:val="24"/>
              </w:rPr>
              <w:t>单价</w:t>
            </w:r>
          </w:p>
          <w:p w14:paraId="15E68CF1">
            <w:pPr>
              <w:pStyle w:val="8"/>
              <w:spacing w:before="228" w:line="218" w:lineRule="auto"/>
              <w:jc w:val="center"/>
              <w:rPr>
                <w:sz w:val="24"/>
                <w:szCs w:val="24"/>
              </w:rPr>
            </w:pPr>
            <w:r>
              <w:rPr>
                <w:spacing w:val="6"/>
                <w:sz w:val="24"/>
                <w:szCs w:val="24"/>
              </w:rPr>
              <w:t>(元)</w:t>
            </w:r>
          </w:p>
        </w:tc>
        <w:tc>
          <w:tcPr>
            <w:tcW w:w="1196" w:type="dxa"/>
            <w:shd w:val="clear" w:color="auto" w:fill="FFFFFF" w:themeFill="background1"/>
            <w:vAlign w:val="center"/>
          </w:tcPr>
          <w:p w14:paraId="27D1EFC8">
            <w:pPr>
              <w:pStyle w:val="8"/>
              <w:spacing w:before="231" w:line="220" w:lineRule="auto"/>
              <w:jc w:val="center"/>
              <w:rPr>
                <w:sz w:val="24"/>
                <w:szCs w:val="24"/>
              </w:rPr>
            </w:pPr>
            <w:r>
              <w:rPr>
                <w:rFonts w:hint="eastAsia"/>
                <w:spacing w:val="6"/>
                <w:sz w:val="24"/>
                <w:szCs w:val="24"/>
                <w:lang w:val="en-US" w:eastAsia="zh-CN"/>
              </w:rPr>
              <w:t>报价</w:t>
            </w:r>
            <w:r>
              <w:rPr>
                <w:spacing w:val="6"/>
                <w:sz w:val="24"/>
                <w:szCs w:val="24"/>
              </w:rPr>
              <w:t>小计</w:t>
            </w:r>
            <w:r>
              <w:rPr>
                <w:spacing w:val="6"/>
                <w:sz w:val="24"/>
                <w:szCs w:val="24"/>
              </w:rPr>
              <w:br w:type="textWrapping"/>
            </w:r>
            <w:r>
              <w:rPr>
                <w:spacing w:val="6"/>
                <w:sz w:val="24"/>
                <w:szCs w:val="24"/>
              </w:rPr>
              <w:t>(元)</w:t>
            </w:r>
          </w:p>
        </w:tc>
      </w:tr>
      <w:tr w14:paraId="092DA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9" w:hRule="atLeast"/>
        </w:trPr>
        <w:tc>
          <w:tcPr>
            <w:tcW w:w="714" w:type="dxa"/>
            <w:vAlign w:val="top"/>
          </w:tcPr>
          <w:p w14:paraId="21C7A40E">
            <w:pPr>
              <w:spacing w:line="325" w:lineRule="auto"/>
              <w:rPr>
                <w:rFonts w:ascii="Arial"/>
                <w:sz w:val="21"/>
              </w:rPr>
            </w:pPr>
          </w:p>
          <w:p w14:paraId="3E0D4289">
            <w:pPr>
              <w:pStyle w:val="8"/>
              <w:spacing w:before="78" w:line="241" w:lineRule="auto"/>
              <w:ind w:left="285"/>
              <w:rPr>
                <w:sz w:val="24"/>
                <w:szCs w:val="24"/>
              </w:rPr>
            </w:pPr>
            <w:r>
              <w:rPr>
                <w:sz w:val="24"/>
                <w:szCs w:val="24"/>
              </w:rPr>
              <w:t>1</w:t>
            </w:r>
          </w:p>
        </w:tc>
        <w:tc>
          <w:tcPr>
            <w:tcW w:w="1649" w:type="dxa"/>
            <w:vAlign w:val="top"/>
          </w:tcPr>
          <w:p w14:paraId="04E542C8">
            <w:pPr>
              <w:pStyle w:val="8"/>
              <w:spacing w:before="242"/>
              <w:ind w:right="64"/>
              <w:rPr>
                <w:sz w:val="24"/>
                <w:szCs w:val="24"/>
              </w:rPr>
            </w:pPr>
            <w:r>
              <w:rPr>
                <w:spacing w:val="2"/>
                <w:sz w:val="24"/>
                <w:szCs w:val="24"/>
              </w:rPr>
              <w:t>月度巡检及维护保养</w:t>
            </w:r>
          </w:p>
        </w:tc>
        <w:tc>
          <w:tcPr>
            <w:tcW w:w="4893" w:type="dxa"/>
            <w:vAlign w:val="center"/>
          </w:tcPr>
          <w:p w14:paraId="037B6545">
            <w:pPr>
              <w:pStyle w:val="8"/>
              <w:spacing w:before="34" w:line="206" w:lineRule="auto"/>
              <w:ind w:left="12"/>
              <w:jc w:val="left"/>
              <w:rPr>
                <w:sz w:val="24"/>
                <w:szCs w:val="24"/>
              </w:rPr>
            </w:pPr>
            <w:r>
              <w:rPr>
                <w:rFonts w:hint="eastAsia"/>
                <w:spacing w:val="1"/>
                <w:sz w:val="24"/>
                <w:szCs w:val="24"/>
              </w:rPr>
              <w:t>包含对实验室新风系统的每月巡检和维护保养服务费及相关工具</w:t>
            </w:r>
            <w:r>
              <w:rPr>
                <w:rFonts w:hint="eastAsia"/>
                <w:spacing w:val="1"/>
                <w:sz w:val="24"/>
                <w:szCs w:val="24"/>
                <w:lang w:eastAsia="zh-CN"/>
              </w:rPr>
              <w:t>、</w:t>
            </w:r>
            <w:r>
              <w:rPr>
                <w:rFonts w:hint="eastAsia"/>
                <w:spacing w:val="1"/>
                <w:sz w:val="24"/>
                <w:szCs w:val="24"/>
              </w:rPr>
              <w:t>人工技术</w:t>
            </w:r>
          </w:p>
        </w:tc>
        <w:tc>
          <w:tcPr>
            <w:tcW w:w="843" w:type="dxa"/>
            <w:vAlign w:val="top"/>
          </w:tcPr>
          <w:p w14:paraId="125D02CF">
            <w:pPr>
              <w:spacing w:line="325" w:lineRule="auto"/>
              <w:rPr>
                <w:rFonts w:ascii="Arial"/>
                <w:color w:val="auto"/>
                <w:sz w:val="21"/>
              </w:rPr>
            </w:pPr>
          </w:p>
          <w:p w14:paraId="3C726BFE">
            <w:pPr>
              <w:pStyle w:val="8"/>
              <w:spacing w:before="78" w:line="241" w:lineRule="auto"/>
              <w:ind w:left="476"/>
              <w:rPr>
                <w:rFonts w:hint="default" w:eastAsia="宋体"/>
                <w:color w:val="auto"/>
                <w:sz w:val="24"/>
                <w:szCs w:val="24"/>
                <w:lang w:val="en-US" w:eastAsia="zh-CN"/>
              </w:rPr>
            </w:pPr>
            <w:r>
              <w:rPr>
                <w:rFonts w:hint="eastAsia"/>
                <w:color w:val="auto"/>
                <w:spacing w:val="-7"/>
                <w:sz w:val="24"/>
                <w:szCs w:val="24"/>
                <w:lang w:val="en-US" w:eastAsia="zh-CN"/>
              </w:rPr>
              <w:t>12</w:t>
            </w:r>
          </w:p>
        </w:tc>
        <w:tc>
          <w:tcPr>
            <w:tcW w:w="844" w:type="dxa"/>
            <w:vAlign w:val="top"/>
          </w:tcPr>
          <w:p w14:paraId="3DB0D784">
            <w:pPr>
              <w:spacing w:line="302" w:lineRule="auto"/>
              <w:rPr>
                <w:rFonts w:ascii="Arial"/>
                <w:color w:val="auto"/>
                <w:sz w:val="21"/>
              </w:rPr>
            </w:pPr>
          </w:p>
          <w:p w14:paraId="3CE95115">
            <w:pPr>
              <w:pStyle w:val="8"/>
              <w:spacing w:before="78" w:line="219" w:lineRule="auto"/>
              <w:ind w:left="407"/>
              <w:rPr>
                <w:color w:val="auto"/>
                <w:sz w:val="24"/>
                <w:szCs w:val="24"/>
              </w:rPr>
            </w:pPr>
            <w:r>
              <w:rPr>
                <w:color w:val="auto"/>
                <w:sz w:val="24"/>
                <w:szCs w:val="24"/>
              </w:rPr>
              <w:t>次</w:t>
            </w:r>
          </w:p>
        </w:tc>
        <w:tc>
          <w:tcPr>
            <w:tcW w:w="1078" w:type="dxa"/>
            <w:vAlign w:val="top"/>
          </w:tcPr>
          <w:p w14:paraId="7D32354A">
            <w:pPr>
              <w:spacing w:line="325" w:lineRule="auto"/>
              <w:rPr>
                <w:rFonts w:ascii="Arial"/>
                <w:color w:val="auto"/>
                <w:sz w:val="21"/>
              </w:rPr>
            </w:pPr>
          </w:p>
          <w:p w14:paraId="34520CB8">
            <w:pPr>
              <w:pStyle w:val="8"/>
              <w:spacing w:before="78"/>
              <w:ind w:left="338"/>
              <w:rPr>
                <w:rFonts w:hint="default" w:eastAsia="宋体"/>
                <w:color w:val="auto"/>
                <w:sz w:val="24"/>
                <w:szCs w:val="24"/>
                <w:lang w:val="en-US" w:eastAsia="zh-CN"/>
              </w:rPr>
            </w:pPr>
          </w:p>
        </w:tc>
        <w:tc>
          <w:tcPr>
            <w:tcW w:w="1196" w:type="dxa"/>
            <w:vAlign w:val="top"/>
          </w:tcPr>
          <w:p w14:paraId="5970E83A">
            <w:pPr>
              <w:spacing w:line="325" w:lineRule="auto"/>
              <w:rPr>
                <w:rFonts w:ascii="Arial"/>
                <w:color w:val="auto"/>
                <w:sz w:val="21"/>
              </w:rPr>
            </w:pPr>
          </w:p>
          <w:p w14:paraId="4ADF0A4B">
            <w:pPr>
              <w:pStyle w:val="8"/>
              <w:spacing w:before="78"/>
              <w:ind w:left="649"/>
              <w:rPr>
                <w:rFonts w:hint="default" w:eastAsia="宋体"/>
                <w:color w:val="auto"/>
                <w:sz w:val="24"/>
                <w:szCs w:val="24"/>
                <w:lang w:val="en-US" w:eastAsia="zh-CN"/>
              </w:rPr>
            </w:pPr>
          </w:p>
        </w:tc>
      </w:tr>
      <w:tr w14:paraId="002BC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2" w:hRule="atLeast"/>
        </w:trPr>
        <w:tc>
          <w:tcPr>
            <w:tcW w:w="714" w:type="dxa"/>
            <w:tcBorders>
              <w:bottom w:val="nil"/>
            </w:tcBorders>
            <w:vAlign w:val="top"/>
          </w:tcPr>
          <w:p w14:paraId="04408C4C">
            <w:pPr>
              <w:spacing w:line="294" w:lineRule="auto"/>
              <w:rPr>
                <w:rFonts w:ascii="Arial"/>
                <w:sz w:val="21"/>
              </w:rPr>
            </w:pPr>
          </w:p>
          <w:p w14:paraId="02B5ED81">
            <w:pPr>
              <w:spacing w:line="294" w:lineRule="auto"/>
              <w:rPr>
                <w:rFonts w:ascii="Arial"/>
                <w:sz w:val="21"/>
              </w:rPr>
            </w:pPr>
          </w:p>
          <w:p w14:paraId="3D5E3F6B">
            <w:pPr>
              <w:spacing w:line="295" w:lineRule="auto"/>
              <w:rPr>
                <w:rFonts w:ascii="Arial"/>
                <w:sz w:val="21"/>
              </w:rPr>
            </w:pPr>
          </w:p>
          <w:p w14:paraId="22C798AE">
            <w:pPr>
              <w:pStyle w:val="8"/>
              <w:spacing w:before="78" w:line="241" w:lineRule="auto"/>
              <w:ind w:left="285"/>
              <w:rPr>
                <w:sz w:val="24"/>
                <w:szCs w:val="24"/>
              </w:rPr>
            </w:pPr>
            <w:r>
              <w:rPr>
                <w:sz w:val="24"/>
                <w:szCs w:val="24"/>
              </w:rPr>
              <w:t>2</w:t>
            </w:r>
          </w:p>
        </w:tc>
        <w:tc>
          <w:tcPr>
            <w:tcW w:w="1649" w:type="dxa"/>
            <w:tcBorders>
              <w:bottom w:val="nil"/>
            </w:tcBorders>
            <w:vAlign w:val="top"/>
          </w:tcPr>
          <w:p w14:paraId="132023C9">
            <w:pPr>
              <w:spacing w:line="355" w:lineRule="auto"/>
              <w:rPr>
                <w:rFonts w:ascii="Arial"/>
                <w:sz w:val="21"/>
              </w:rPr>
            </w:pPr>
          </w:p>
          <w:p w14:paraId="0E9CA4EF">
            <w:pPr>
              <w:spacing w:line="355" w:lineRule="auto"/>
              <w:rPr>
                <w:rFonts w:ascii="Arial"/>
                <w:sz w:val="21"/>
              </w:rPr>
            </w:pPr>
          </w:p>
          <w:p w14:paraId="48B595AC">
            <w:pPr>
              <w:pStyle w:val="8"/>
              <w:spacing w:before="78" w:line="255" w:lineRule="auto"/>
              <w:ind w:right="64"/>
              <w:rPr>
                <w:sz w:val="24"/>
                <w:szCs w:val="24"/>
              </w:rPr>
            </w:pPr>
            <w:r>
              <w:rPr>
                <w:spacing w:val="2"/>
                <w:sz w:val="24"/>
                <w:szCs w:val="24"/>
              </w:rPr>
              <w:t>季度检测及</w:t>
            </w:r>
            <w:r>
              <w:rPr>
                <w:spacing w:val="-2"/>
                <w:sz w:val="24"/>
                <w:szCs w:val="24"/>
              </w:rPr>
              <w:t>机组保养</w:t>
            </w:r>
          </w:p>
        </w:tc>
        <w:tc>
          <w:tcPr>
            <w:tcW w:w="4893" w:type="dxa"/>
            <w:vAlign w:val="center"/>
          </w:tcPr>
          <w:p w14:paraId="2FC5EF06">
            <w:pPr>
              <w:spacing w:before="25" w:line="241" w:lineRule="auto"/>
              <w:ind w:left="12"/>
              <w:jc w:val="left"/>
              <w:rPr>
                <w:rFonts w:hint="eastAsia" w:eastAsia="宋体"/>
                <w:lang w:eastAsia="zh-CN"/>
              </w:rPr>
            </w:pPr>
            <w:r>
              <w:rPr>
                <w:rFonts w:hint="eastAsia"/>
              </w:rPr>
              <w:t>包含对实验室新风系统每季度一次机组保养服务费（如：冷热源系统；恒温恒湿系统；洁净送风系统，负压排风系统，自控系统等）相关清洁剂、工具材料</w:t>
            </w:r>
            <w:r>
              <w:rPr>
                <w:rFonts w:hint="eastAsia" w:eastAsia="宋体"/>
                <w:lang w:eastAsia="zh-CN"/>
              </w:rPr>
              <w:t>、</w:t>
            </w:r>
          </w:p>
          <w:p w14:paraId="2DB58212">
            <w:pPr>
              <w:spacing w:before="25" w:line="241" w:lineRule="auto"/>
              <w:ind w:left="12"/>
              <w:jc w:val="left"/>
              <w:rPr>
                <w:sz w:val="24"/>
                <w:szCs w:val="24"/>
              </w:rPr>
            </w:pPr>
            <w:r>
              <w:rPr>
                <w:rFonts w:hint="eastAsia"/>
              </w:rPr>
              <w:t>人工技术及交通、运输等费用</w:t>
            </w:r>
          </w:p>
        </w:tc>
        <w:tc>
          <w:tcPr>
            <w:tcW w:w="843" w:type="dxa"/>
            <w:tcBorders>
              <w:bottom w:val="nil"/>
            </w:tcBorders>
            <w:vAlign w:val="top"/>
          </w:tcPr>
          <w:p w14:paraId="30E7DA06">
            <w:pPr>
              <w:spacing w:line="294" w:lineRule="auto"/>
              <w:rPr>
                <w:rFonts w:ascii="Arial"/>
                <w:color w:val="auto"/>
                <w:sz w:val="21"/>
              </w:rPr>
            </w:pPr>
          </w:p>
          <w:p w14:paraId="0C023819">
            <w:pPr>
              <w:spacing w:line="294" w:lineRule="auto"/>
              <w:rPr>
                <w:rFonts w:ascii="Arial"/>
                <w:color w:val="auto"/>
                <w:sz w:val="21"/>
              </w:rPr>
            </w:pPr>
          </w:p>
          <w:p w14:paraId="0F7F0FEF">
            <w:pPr>
              <w:spacing w:line="295" w:lineRule="auto"/>
              <w:rPr>
                <w:rFonts w:ascii="Arial"/>
                <w:color w:val="auto"/>
                <w:sz w:val="21"/>
              </w:rPr>
            </w:pPr>
          </w:p>
          <w:p w14:paraId="4038A18E">
            <w:pPr>
              <w:pStyle w:val="8"/>
              <w:spacing w:before="78" w:line="241" w:lineRule="auto"/>
              <w:ind w:left="506"/>
              <w:rPr>
                <w:color w:val="auto"/>
                <w:sz w:val="24"/>
                <w:szCs w:val="24"/>
              </w:rPr>
            </w:pPr>
            <w:r>
              <w:rPr>
                <w:color w:val="auto"/>
                <w:sz w:val="24"/>
                <w:szCs w:val="24"/>
              </w:rPr>
              <w:t>4</w:t>
            </w:r>
          </w:p>
        </w:tc>
        <w:tc>
          <w:tcPr>
            <w:tcW w:w="844" w:type="dxa"/>
            <w:tcBorders>
              <w:bottom w:val="nil"/>
            </w:tcBorders>
            <w:vAlign w:val="top"/>
          </w:tcPr>
          <w:p w14:paraId="4DAEA2AA">
            <w:pPr>
              <w:spacing w:line="286" w:lineRule="auto"/>
              <w:rPr>
                <w:rFonts w:ascii="Arial"/>
                <w:color w:val="auto"/>
                <w:sz w:val="21"/>
              </w:rPr>
            </w:pPr>
          </w:p>
          <w:p w14:paraId="6C8BEC9D">
            <w:pPr>
              <w:spacing w:line="286" w:lineRule="auto"/>
              <w:rPr>
                <w:rFonts w:ascii="Arial"/>
                <w:color w:val="auto"/>
                <w:sz w:val="21"/>
              </w:rPr>
            </w:pPr>
          </w:p>
          <w:p w14:paraId="66004E1C">
            <w:pPr>
              <w:spacing w:line="287" w:lineRule="auto"/>
              <w:rPr>
                <w:rFonts w:ascii="Arial"/>
                <w:color w:val="auto"/>
                <w:sz w:val="21"/>
              </w:rPr>
            </w:pPr>
          </w:p>
          <w:p w14:paraId="4DE340EE">
            <w:pPr>
              <w:pStyle w:val="8"/>
              <w:spacing w:before="78" w:line="219" w:lineRule="auto"/>
              <w:ind w:left="407"/>
              <w:rPr>
                <w:color w:val="auto"/>
                <w:sz w:val="24"/>
                <w:szCs w:val="24"/>
              </w:rPr>
            </w:pPr>
            <w:r>
              <w:rPr>
                <w:color w:val="auto"/>
                <w:sz w:val="24"/>
                <w:szCs w:val="24"/>
              </w:rPr>
              <w:t>次</w:t>
            </w:r>
          </w:p>
        </w:tc>
        <w:tc>
          <w:tcPr>
            <w:tcW w:w="1078" w:type="dxa"/>
            <w:tcBorders>
              <w:bottom w:val="nil"/>
            </w:tcBorders>
            <w:vAlign w:val="top"/>
          </w:tcPr>
          <w:p w14:paraId="0EDC9B9F">
            <w:pPr>
              <w:spacing w:line="294" w:lineRule="auto"/>
              <w:rPr>
                <w:rFonts w:ascii="Arial"/>
                <w:color w:val="auto"/>
                <w:sz w:val="21"/>
              </w:rPr>
            </w:pPr>
          </w:p>
          <w:p w14:paraId="6B14E35C">
            <w:pPr>
              <w:spacing w:line="294" w:lineRule="auto"/>
              <w:rPr>
                <w:rFonts w:ascii="Arial"/>
                <w:color w:val="auto"/>
                <w:sz w:val="21"/>
              </w:rPr>
            </w:pPr>
          </w:p>
          <w:p w14:paraId="622AE205">
            <w:pPr>
              <w:spacing w:line="294" w:lineRule="auto"/>
              <w:rPr>
                <w:rFonts w:ascii="Arial"/>
                <w:color w:val="auto"/>
                <w:sz w:val="21"/>
              </w:rPr>
            </w:pPr>
          </w:p>
          <w:p w14:paraId="201A9D11">
            <w:pPr>
              <w:pStyle w:val="8"/>
              <w:spacing w:before="78"/>
              <w:ind w:left="277"/>
              <w:rPr>
                <w:rFonts w:hint="default" w:eastAsia="宋体"/>
                <w:color w:val="auto"/>
                <w:sz w:val="24"/>
                <w:szCs w:val="24"/>
                <w:lang w:val="en-US" w:eastAsia="zh-CN"/>
              </w:rPr>
            </w:pPr>
          </w:p>
        </w:tc>
        <w:tc>
          <w:tcPr>
            <w:tcW w:w="1196" w:type="dxa"/>
            <w:tcBorders>
              <w:bottom w:val="nil"/>
            </w:tcBorders>
            <w:vAlign w:val="top"/>
          </w:tcPr>
          <w:p w14:paraId="2FB1B535">
            <w:pPr>
              <w:spacing w:line="294" w:lineRule="auto"/>
              <w:rPr>
                <w:rFonts w:ascii="Arial"/>
                <w:color w:val="auto"/>
                <w:sz w:val="21"/>
              </w:rPr>
            </w:pPr>
          </w:p>
          <w:p w14:paraId="22F9D1C5">
            <w:pPr>
              <w:spacing w:line="294" w:lineRule="auto"/>
              <w:rPr>
                <w:rFonts w:ascii="Arial"/>
                <w:color w:val="auto"/>
                <w:sz w:val="21"/>
              </w:rPr>
            </w:pPr>
          </w:p>
          <w:p w14:paraId="334AE47A">
            <w:pPr>
              <w:spacing w:line="294" w:lineRule="auto"/>
              <w:rPr>
                <w:rFonts w:ascii="Arial"/>
                <w:color w:val="auto"/>
                <w:sz w:val="21"/>
              </w:rPr>
            </w:pPr>
          </w:p>
          <w:p w14:paraId="78C64152">
            <w:pPr>
              <w:pStyle w:val="8"/>
              <w:spacing w:before="78"/>
              <w:ind w:left="588"/>
              <w:rPr>
                <w:rFonts w:hint="default" w:eastAsia="宋体"/>
                <w:color w:val="auto"/>
                <w:sz w:val="24"/>
                <w:szCs w:val="24"/>
                <w:lang w:val="en-US" w:eastAsia="zh-CN"/>
              </w:rPr>
            </w:pPr>
          </w:p>
        </w:tc>
      </w:tr>
      <w:tr w14:paraId="4F563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3" w:hRule="atLeast"/>
        </w:trPr>
        <w:tc>
          <w:tcPr>
            <w:tcW w:w="714" w:type="dxa"/>
            <w:vAlign w:val="top"/>
          </w:tcPr>
          <w:p w14:paraId="61FBC5ED">
            <w:pPr>
              <w:spacing w:line="318" w:lineRule="auto"/>
              <w:rPr>
                <w:rFonts w:ascii="Arial"/>
                <w:sz w:val="21"/>
              </w:rPr>
            </w:pPr>
          </w:p>
          <w:p w14:paraId="15AF43EC">
            <w:pPr>
              <w:spacing w:line="318" w:lineRule="auto"/>
              <w:rPr>
                <w:rFonts w:ascii="Arial"/>
                <w:sz w:val="21"/>
              </w:rPr>
            </w:pPr>
          </w:p>
          <w:p w14:paraId="41AA6EE9">
            <w:pPr>
              <w:pStyle w:val="8"/>
              <w:spacing w:before="78"/>
              <w:ind w:left="285"/>
              <w:rPr>
                <w:sz w:val="24"/>
                <w:szCs w:val="24"/>
              </w:rPr>
            </w:pPr>
            <w:r>
              <w:rPr>
                <w:sz w:val="24"/>
                <w:szCs w:val="24"/>
              </w:rPr>
              <w:t>3</w:t>
            </w:r>
          </w:p>
        </w:tc>
        <w:tc>
          <w:tcPr>
            <w:tcW w:w="1649" w:type="dxa"/>
            <w:vAlign w:val="top"/>
          </w:tcPr>
          <w:p w14:paraId="60356E82">
            <w:pPr>
              <w:spacing w:line="306" w:lineRule="auto"/>
              <w:rPr>
                <w:rFonts w:ascii="Arial"/>
                <w:sz w:val="21"/>
              </w:rPr>
            </w:pPr>
          </w:p>
          <w:p w14:paraId="0BC830BC">
            <w:pPr>
              <w:spacing w:line="307" w:lineRule="auto"/>
              <w:rPr>
                <w:rFonts w:ascii="Arial"/>
                <w:sz w:val="21"/>
              </w:rPr>
            </w:pPr>
          </w:p>
          <w:p w14:paraId="5734C887">
            <w:pPr>
              <w:pStyle w:val="8"/>
              <w:spacing w:before="78" w:line="219" w:lineRule="auto"/>
              <w:rPr>
                <w:sz w:val="24"/>
                <w:szCs w:val="24"/>
              </w:rPr>
            </w:pPr>
            <w:r>
              <w:rPr>
                <w:spacing w:val="-2"/>
                <w:sz w:val="24"/>
                <w:szCs w:val="24"/>
              </w:rPr>
              <w:t>零星维修</w:t>
            </w:r>
          </w:p>
        </w:tc>
        <w:tc>
          <w:tcPr>
            <w:tcW w:w="4893" w:type="dxa"/>
            <w:vAlign w:val="center"/>
          </w:tcPr>
          <w:p w14:paraId="756FD477">
            <w:pPr>
              <w:pStyle w:val="8"/>
              <w:spacing w:line="220" w:lineRule="auto"/>
              <w:ind w:left="12"/>
              <w:jc w:val="left"/>
              <w:rPr>
                <w:sz w:val="24"/>
                <w:szCs w:val="24"/>
              </w:rPr>
            </w:pPr>
            <w:r>
              <w:rPr>
                <w:rFonts w:hint="eastAsia"/>
                <w:spacing w:val="-7"/>
                <w:sz w:val="24"/>
                <w:szCs w:val="24"/>
              </w:rPr>
              <w:t>包含对临时出现系统维修、部件更换、电气元件修复、设备故障排除等服务费及相关配件、材料、工具、材料（如过滤器，二通阀，温控器，传感器、灯具等</w:t>
            </w:r>
            <w:r>
              <w:rPr>
                <w:rFonts w:hint="eastAsia"/>
                <w:spacing w:val="-7"/>
                <w:sz w:val="24"/>
                <w:szCs w:val="24"/>
                <w:lang w:eastAsia="zh-CN"/>
              </w:rPr>
              <w:t>）</w:t>
            </w:r>
            <w:r>
              <w:rPr>
                <w:rFonts w:hint="eastAsia"/>
                <w:spacing w:val="-7"/>
                <w:sz w:val="24"/>
                <w:szCs w:val="24"/>
                <w:lang w:val="en-US" w:eastAsia="zh-CN"/>
              </w:rPr>
              <w:t>、</w:t>
            </w:r>
            <w:r>
              <w:rPr>
                <w:rFonts w:hint="eastAsia"/>
                <w:spacing w:val="-7"/>
                <w:sz w:val="24"/>
                <w:szCs w:val="24"/>
              </w:rPr>
              <w:t>人工技术及交通、运输等费用</w:t>
            </w:r>
          </w:p>
        </w:tc>
        <w:tc>
          <w:tcPr>
            <w:tcW w:w="843" w:type="dxa"/>
            <w:vAlign w:val="top"/>
          </w:tcPr>
          <w:p w14:paraId="154A48DC">
            <w:pPr>
              <w:spacing w:line="318" w:lineRule="auto"/>
              <w:rPr>
                <w:rFonts w:ascii="Arial"/>
                <w:color w:val="auto"/>
                <w:sz w:val="21"/>
              </w:rPr>
            </w:pPr>
          </w:p>
          <w:p w14:paraId="62B6D6C9">
            <w:pPr>
              <w:spacing w:line="318" w:lineRule="auto"/>
              <w:rPr>
                <w:rFonts w:ascii="Arial"/>
                <w:color w:val="auto"/>
                <w:sz w:val="21"/>
              </w:rPr>
            </w:pPr>
          </w:p>
          <w:p w14:paraId="3236416E">
            <w:pPr>
              <w:pStyle w:val="8"/>
              <w:spacing w:before="78"/>
              <w:ind w:left="496"/>
              <w:rPr>
                <w:rFonts w:hint="default" w:eastAsia="宋体"/>
                <w:color w:val="auto"/>
                <w:sz w:val="24"/>
                <w:szCs w:val="24"/>
                <w:lang w:val="en-US" w:eastAsia="zh-CN"/>
              </w:rPr>
            </w:pPr>
            <w:r>
              <w:rPr>
                <w:rFonts w:hint="eastAsia"/>
                <w:color w:val="auto"/>
                <w:sz w:val="24"/>
                <w:szCs w:val="24"/>
                <w:lang w:val="en-US" w:eastAsia="zh-CN"/>
              </w:rPr>
              <w:t>15</w:t>
            </w:r>
          </w:p>
        </w:tc>
        <w:tc>
          <w:tcPr>
            <w:tcW w:w="844" w:type="dxa"/>
            <w:vAlign w:val="top"/>
          </w:tcPr>
          <w:p w14:paraId="5326FD54">
            <w:pPr>
              <w:spacing w:line="306" w:lineRule="auto"/>
              <w:rPr>
                <w:rFonts w:ascii="Arial"/>
                <w:color w:val="auto"/>
                <w:sz w:val="21"/>
              </w:rPr>
            </w:pPr>
          </w:p>
          <w:p w14:paraId="49C81DB1">
            <w:pPr>
              <w:spacing w:line="307" w:lineRule="auto"/>
              <w:rPr>
                <w:rFonts w:ascii="Arial"/>
                <w:color w:val="auto"/>
                <w:sz w:val="21"/>
              </w:rPr>
            </w:pPr>
          </w:p>
          <w:p w14:paraId="7A0E5242">
            <w:pPr>
              <w:pStyle w:val="8"/>
              <w:spacing w:before="78" w:line="219" w:lineRule="auto"/>
              <w:ind w:left="407"/>
              <w:rPr>
                <w:color w:val="auto"/>
                <w:sz w:val="24"/>
                <w:szCs w:val="24"/>
              </w:rPr>
            </w:pPr>
            <w:r>
              <w:rPr>
                <w:color w:val="auto"/>
                <w:sz w:val="24"/>
                <w:szCs w:val="24"/>
              </w:rPr>
              <w:t>次</w:t>
            </w:r>
          </w:p>
        </w:tc>
        <w:tc>
          <w:tcPr>
            <w:tcW w:w="1078" w:type="dxa"/>
            <w:vAlign w:val="top"/>
          </w:tcPr>
          <w:p w14:paraId="756A74E9">
            <w:pPr>
              <w:spacing w:line="318" w:lineRule="auto"/>
              <w:rPr>
                <w:rFonts w:ascii="Arial"/>
                <w:color w:val="auto"/>
                <w:sz w:val="21"/>
              </w:rPr>
            </w:pPr>
          </w:p>
          <w:p w14:paraId="69B51317">
            <w:pPr>
              <w:spacing w:line="318" w:lineRule="auto"/>
              <w:rPr>
                <w:rFonts w:ascii="Arial"/>
                <w:color w:val="auto"/>
                <w:sz w:val="21"/>
              </w:rPr>
            </w:pPr>
          </w:p>
          <w:p w14:paraId="079B881C">
            <w:pPr>
              <w:pStyle w:val="8"/>
              <w:spacing w:before="78"/>
              <w:ind w:left="338"/>
              <w:rPr>
                <w:rFonts w:hint="default" w:eastAsia="宋体"/>
                <w:color w:val="auto"/>
                <w:sz w:val="24"/>
                <w:szCs w:val="24"/>
                <w:lang w:val="en-US" w:eastAsia="zh-CN"/>
              </w:rPr>
            </w:pPr>
          </w:p>
        </w:tc>
        <w:tc>
          <w:tcPr>
            <w:tcW w:w="1196" w:type="dxa"/>
            <w:vAlign w:val="top"/>
          </w:tcPr>
          <w:p w14:paraId="120FB406">
            <w:pPr>
              <w:spacing w:line="318" w:lineRule="auto"/>
              <w:rPr>
                <w:rFonts w:ascii="Arial"/>
                <w:color w:val="auto"/>
                <w:sz w:val="21"/>
              </w:rPr>
            </w:pPr>
          </w:p>
          <w:p w14:paraId="7C8D6A51">
            <w:pPr>
              <w:spacing w:line="318" w:lineRule="auto"/>
              <w:rPr>
                <w:rFonts w:ascii="Arial"/>
                <w:color w:val="auto"/>
                <w:sz w:val="21"/>
              </w:rPr>
            </w:pPr>
          </w:p>
          <w:p w14:paraId="17DBE5DC">
            <w:pPr>
              <w:pStyle w:val="8"/>
              <w:spacing w:before="78"/>
              <w:ind w:left="649"/>
              <w:rPr>
                <w:rFonts w:hint="default" w:eastAsia="宋体"/>
                <w:color w:val="auto"/>
                <w:sz w:val="24"/>
                <w:szCs w:val="24"/>
                <w:lang w:val="en-US" w:eastAsia="zh-CN"/>
              </w:rPr>
            </w:pPr>
          </w:p>
        </w:tc>
      </w:tr>
      <w:tr w14:paraId="63BA5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9" w:hRule="atLeast"/>
        </w:trPr>
        <w:tc>
          <w:tcPr>
            <w:tcW w:w="714" w:type="dxa"/>
            <w:vAlign w:val="top"/>
          </w:tcPr>
          <w:p w14:paraId="5221DBBD">
            <w:pPr>
              <w:spacing w:line="244" w:lineRule="auto"/>
              <w:rPr>
                <w:rFonts w:ascii="Arial"/>
                <w:sz w:val="21"/>
              </w:rPr>
            </w:pPr>
          </w:p>
          <w:p w14:paraId="3B991FBC">
            <w:pPr>
              <w:spacing w:line="245" w:lineRule="auto"/>
              <w:rPr>
                <w:rFonts w:ascii="Arial"/>
                <w:sz w:val="21"/>
              </w:rPr>
            </w:pPr>
          </w:p>
          <w:p w14:paraId="0F4E3185">
            <w:pPr>
              <w:pStyle w:val="8"/>
              <w:spacing w:before="78" w:line="241" w:lineRule="auto"/>
              <w:ind w:left="285"/>
              <w:rPr>
                <w:sz w:val="24"/>
                <w:szCs w:val="24"/>
              </w:rPr>
            </w:pPr>
            <w:r>
              <w:rPr>
                <w:sz w:val="24"/>
                <w:szCs w:val="24"/>
              </w:rPr>
              <w:t>4</w:t>
            </w:r>
          </w:p>
        </w:tc>
        <w:tc>
          <w:tcPr>
            <w:tcW w:w="1649" w:type="dxa"/>
            <w:vAlign w:val="top"/>
          </w:tcPr>
          <w:p w14:paraId="4BF67033">
            <w:pPr>
              <w:pStyle w:val="8"/>
              <w:spacing w:line="220" w:lineRule="auto"/>
              <w:ind w:left="12"/>
              <w:rPr>
                <w:rFonts w:hint="eastAsia"/>
                <w:spacing w:val="-7"/>
                <w:sz w:val="24"/>
                <w:szCs w:val="24"/>
              </w:rPr>
            </w:pPr>
          </w:p>
          <w:p w14:paraId="7D69F29F">
            <w:pPr>
              <w:pStyle w:val="8"/>
              <w:spacing w:line="220" w:lineRule="auto"/>
              <w:ind w:left="12"/>
              <w:rPr>
                <w:rFonts w:hint="eastAsia"/>
                <w:spacing w:val="-7"/>
                <w:sz w:val="24"/>
                <w:szCs w:val="24"/>
              </w:rPr>
            </w:pPr>
            <w:r>
              <w:rPr>
                <w:rFonts w:hint="eastAsia"/>
                <w:spacing w:val="-7"/>
                <w:sz w:val="24"/>
                <w:szCs w:val="24"/>
              </w:rPr>
              <w:t>设备防护及系统优化维护费</w:t>
            </w:r>
          </w:p>
        </w:tc>
        <w:tc>
          <w:tcPr>
            <w:tcW w:w="4893" w:type="dxa"/>
            <w:vAlign w:val="center"/>
          </w:tcPr>
          <w:p w14:paraId="7F62DE0F">
            <w:pPr>
              <w:pStyle w:val="8"/>
              <w:spacing w:line="220" w:lineRule="auto"/>
              <w:ind w:left="12"/>
              <w:jc w:val="left"/>
              <w:rPr>
                <w:rFonts w:hint="eastAsia"/>
                <w:spacing w:val="-7"/>
                <w:sz w:val="24"/>
                <w:szCs w:val="24"/>
              </w:rPr>
            </w:pPr>
            <w:r>
              <w:rPr>
                <w:rFonts w:hint="eastAsia"/>
                <w:spacing w:val="-7"/>
                <w:sz w:val="24"/>
                <w:szCs w:val="24"/>
              </w:rPr>
              <w:t>含维保范围内空调机组、风管、管道支架、控制柜体等的防锈防腐涂护；风管及冷冻水管保温层的局部修补与加固；风管漏风点的密封修补；设备减震垫、紧固件等易损配件的预防性检查与更换。</w:t>
            </w:r>
          </w:p>
        </w:tc>
        <w:tc>
          <w:tcPr>
            <w:tcW w:w="843" w:type="dxa"/>
            <w:vAlign w:val="top"/>
          </w:tcPr>
          <w:p w14:paraId="7E1CBD2B">
            <w:pPr>
              <w:spacing w:line="244" w:lineRule="auto"/>
              <w:rPr>
                <w:rFonts w:ascii="Arial"/>
                <w:color w:val="auto"/>
                <w:sz w:val="21"/>
              </w:rPr>
            </w:pPr>
          </w:p>
          <w:p w14:paraId="5FFD0C10">
            <w:pPr>
              <w:spacing w:line="245" w:lineRule="auto"/>
              <w:rPr>
                <w:rFonts w:ascii="Arial"/>
                <w:color w:val="auto"/>
                <w:sz w:val="21"/>
              </w:rPr>
            </w:pPr>
          </w:p>
          <w:p w14:paraId="60ED9A5B">
            <w:pPr>
              <w:pStyle w:val="8"/>
              <w:spacing w:before="78" w:line="241" w:lineRule="auto"/>
              <w:ind w:left="496"/>
              <w:rPr>
                <w:color w:val="auto"/>
                <w:sz w:val="24"/>
                <w:szCs w:val="24"/>
              </w:rPr>
            </w:pPr>
            <w:r>
              <w:rPr>
                <w:color w:val="auto"/>
                <w:sz w:val="24"/>
                <w:szCs w:val="24"/>
              </w:rPr>
              <w:t>1</w:t>
            </w:r>
          </w:p>
        </w:tc>
        <w:tc>
          <w:tcPr>
            <w:tcW w:w="844" w:type="dxa"/>
            <w:vAlign w:val="top"/>
          </w:tcPr>
          <w:p w14:paraId="1FABB0A2">
            <w:pPr>
              <w:pStyle w:val="8"/>
              <w:spacing w:before="78" w:line="220" w:lineRule="auto"/>
              <w:ind w:left="407"/>
              <w:jc w:val="center"/>
              <w:rPr>
                <w:rFonts w:hint="eastAsia"/>
                <w:color w:val="auto"/>
                <w:sz w:val="24"/>
                <w:szCs w:val="24"/>
                <w:lang w:val="en-US" w:eastAsia="zh-CN"/>
              </w:rPr>
            </w:pPr>
          </w:p>
          <w:p w14:paraId="63625A6C">
            <w:pPr>
              <w:pStyle w:val="8"/>
              <w:spacing w:before="78" w:line="220" w:lineRule="auto"/>
              <w:ind w:firstLine="480" w:firstLineChars="200"/>
              <w:jc w:val="both"/>
              <w:rPr>
                <w:rFonts w:hint="default" w:eastAsia="宋体"/>
                <w:color w:val="auto"/>
                <w:sz w:val="24"/>
                <w:szCs w:val="24"/>
                <w:lang w:val="en-US" w:eastAsia="zh-CN"/>
              </w:rPr>
            </w:pPr>
            <w:r>
              <w:rPr>
                <w:rFonts w:hint="eastAsia"/>
                <w:color w:val="auto"/>
                <w:sz w:val="24"/>
                <w:szCs w:val="24"/>
                <w:lang w:val="en-US" w:eastAsia="zh-CN"/>
              </w:rPr>
              <w:t>项</w:t>
            </w:r>
          </w:p>
        </w:tc>
        <w:tc>
          <w:tcPr>
            <w:tcW w:w="1078" w:type="dxa"/>
            <w:vAlign w:val="top"/>
          </w:tcPr>
          <w:p w14:paraId="1EFA5FA0">
            <w:pPr>
              <w:pStyle w:val="8"/>
              <w:spacing w:before="78"/>
              <w:ind w:left="218"/>
              <w:jc w:val="center"/>
              <w:rPr>
                <w:rFonts w:hint="eastAsia"/>
                <w:color w:val="auto"/>
                <w:sz w:val="24"/>
                <w:szCs w:val="24"/>
                <w:lang w:val="en-US" w:eastAsia="zh-CN"/>
              </w:rPr>
            </w:pPr>
          </w:p>
          <w:p w14:paraId="18119A8A">
            <w:pPr>
              <w:pStyle w:val="8"/>
              <w:spacing w:before="78"/>
              <w:ind w:left="218"/>
              <w:jc w:val="center"/>
              <w:rPr>
                <w:rFonts w:hint="default" w:eastAsia="宋体"/>
                <w:color w:val="auto"/>
                <w:sz w:val="24"/>
                <w:szCs w:val="24"/>
                <w:lang w:val="en-US" w:eastAsia="zh-CN"/>
              </w:rPr>
            </w:pPr>
          </w:p>
        </w:tc>
        <w:tc>
          <w:tcPr>
            <w:tcW w:w="1196" w:type="dxa"/>
            <w:vAlign w:val="top"/>
          </w:tcPr>
          <w:p w14:paraId="5A96F666">
            <w:pPr>
              <w:spacing w:line="244" w:lineRule="auto"/>
              <w:rPr>
                <w:rFonts w:ascii="Arial"/>
                <w:color w:val="auto"/>
                <w:sz w:val="21"/>
              </w:rPr>
            </w:pPr>
          </w:p>
          <w:p w14:paraId="721683E0">
            <w:pPr>
              <w:spacing w:line="245" w:lineRule="auto"/>
              <w:rPr>
                <w:rFonts w:ascii="Arial"/>
                <w:color w:val="auto"/>
                <w:sz w:val="21"/>
              </w:rPr>
            </w:pPr>
          </w:p>
          <w:p w14:paraId="4B40A5DB">
            <w:pPr>
              <w:pStyle w:val="8"/>
              <w:spacing w:before="78"/>
              <w:ind w:left="588"/>
              <w:rPr>
                <w:rFonts w:hint="default" w:eastAsia="宋体"/>
                <w:color w:val="auto"/>
                <w:sz w:val="24"/>
                <w:szCs w:val="24"/>
                <w:lang w:val="en-US" w:eastAsia="zh-CN"/>
              </w:rPr>
            </w:pPr>
          </w:p>
        </w:tc>
      </w:tr>
      <w:tr w14:paraId="149FD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7" w:hRule="atLeast"/>
        </w:trPr>
        <w:tc>
          <w:tcPr>
            <w:tcW w:w="10021" w:type="dxa"/>
            <w:gridSpan w:val="6"/>
            <w:vAlign w:val="center"/>
          </w:tcPr>
          <w:p w14:paraId="77BCA308">
            <w:pPr>
              <w:pStyle w:val="8"/>
              <w:spacing w:before="75" w:line="220" w:lineRule="auto"/>
              <w:ind w:left="4218"/>
              <w:jc w:val="both"/>
              <w:rPr>
                <w:color w:val="auto"/>
                <w:sz w:val="24"/>
                <w:szCs w:val="24"/>
              </w:rPr>
            </w:pPr>
            <w:r>
              <w:rPr>
                <w:rFonts w:hint="eastAsia"/>
                <w:b/>
                <w:bCs/>
                <w:color w:val="auto"/>
                <w:spacing w:val="6"/>
                <w:sz w:val="24"/>
                <w:szCs w:val="24"/>
                <w:lang w:val="en-US" w:eastAsia="zh-CN"/>
              </w:rPr>
              <w:t>项目总报价</w:t>
            </w:r>
            <w:r>
              <w:rPr>
                <w:b/>
                <w:bCs/>
                <w:color w:val="auto"/>
                <w:spacing w:val="6"/>
                <w:sz w:val="24"/>
                <w:szCs w:val="24"/>
              </w:rPr>
              <w:t>(元)</w:t>
            </w:r>
          </w:p>
        </w:tc>
        <w:tc>
          <w:tcPr>
            <w:tcW w:w="1196" w:type="dxa"/>
            <w:vAlign w:val="top"/>
          </w:tcPr>
          <w:p w14:paraId="5EBAAA22">
            <w:pPr>
              <w:pStyle w:val="8"/>
              <w:spacing w:before="102" w:line="206" w:lineRule="auto"/>
              <w:ind w:left="588"/>
              <w:rPr>
                <w:rFonts w:hint="default" w:eastAsia="宋体"/>
                <w:color w:val="auto"/>
                <w:sz w:val="24"/>
                <w:szCs w:val="24"/>
                <w:lang w:val="en-US" w:eastAsia="zh-CN"/>
              </w:rPr>
            </w:pPr>
          </w:p>
        </w:tc>
      </w:tr>
      <w:tr w14:paraId="4F705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10021" w:type="dxa"/>
            <w:gridSpan w:val="6"/>
            <w:vAlign w:val="top"/>
          </w:tcPr>
          <w:p w14:paraId="5E67410A">
            <w:pPr>
              <w:pStyle w:val="8"/>
              <w:spacing w:before="232" w:line="218" w:lineRule="auto"/>
              <w:jc w:val="both"/>
              <w:rPr>
                <w:rFonts w:hint="default"/>
                <w:color w:val="auto"/>
                <w:sz w:val="24"/>
                <w:szCs w:val="24"/>
                <w:lang w:val="en-US"/>
              </w:rPr>
            </w:pPr>
            <w:r>
              <w:rPr>
                <w:rFonts w:hint="eastAsia"/>
                <w:b w:val="0"/>
                <w:bCs w:val="0"/>
                <w:color w:val="auto"/>
                <w:spacing w:val="2"/>
                <w:sz w:val="24"/>
                <w:szCs w:val="24"/>
                <w:lang w:val="en-US" w:eastAsia="zh-CN"/>
              </w:rPr>
              <w:t>本项目最高限价（超过限价的报价无效）</w:t>
            </w:r>
          </w:p>
        </w:tc>
        <w:tc>
          <w:tcPr>
            <w:tcW w:w="1196" w:type="dxa"/>
            <w:vAlign w:val="top"/>
          </w:tcPr>
          <w:p w14:paraId="7F95C2C5">
            <w:pPr>
              <w:pStyle w:val="8"/>
              <w:spacing w:before="261"/>
              <w:jc w:val="center"/>
              <w:rPr>
                <w:rFonts w:hint="default" w:eastAsia="宋体"/>
                <w:color w:val="auto"/>
                <w:sz w:val="24"/>
                <w:szCs w:val="24"/>
                <w:lang w:val="en-US" w:eastAsia="zh-CN"/>
              </w:rPr>
            </w:pPr>
            <w:r>
              <w:rPr>
                <w:rFonts w:hint="eastAsia"/>
                <w:color w:val="auto"/>
                <w:spacing w:val="-2"/>
                <w:sz w:val="24"/>
                <w:szCs w:val="24"/>
                <w:lang w:val="en-US" w:eastAsia="zh-CN"/>
              </w:rPr>
              <w:t>80000</w:t>
            </w:r>
          </w:p>
        </w:tc>
      </w:tr>
      <w:tr w14:paraId="102D7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2" w:hRule="atLeast"/>
        </w:trPr>
        <w:tc>
          <w:tcPr>
            <w:tcW w:w="11217" w:type="dxa"/>
            <w:gridSpan w:val="7"/>
            <w:vAlign w:val="top"/>
          </w:tcPr>
          <w:p w14:paraId="17C43762">
            <w:pPr>
              <w:pStyle w:val="8"/>
              <w:spacing w:before="138" w:line="219" w:lineRule="auto"/>
              <w:ind w:left="495"/>
              <w:rPr>
                <w:sz w:val="24"/>
                <w:szCs w:val="24"/>
              </w:rPr>
            </w:pPr>
            <w:r>
              <w:rPr>
                <w:rFonts w:hint="eastAsia"/>
                <w:color w:val="304040"/>
                <w:spacing w:val="-1"/>
                <w:sz w:val="24"/>
                <w:szCs w:val="24"/>
                <w:lang w:val="en-US" w:eastAsia="zh-CN"/>
              </w:rPr>
              <w:t>报价</w:t>
            </w:r>
            <w:r>
              <w:rPr>
                <w:color w:val="304040"/>
                <w:spacing w:val="-1"/>
                <w:sz w:val="24"/>
                <w:szCs w:val="24"/>
              </w:rPr>
              <w:t>说明项：</w:t>
            </w:r>
          </w:p>
          <w:p w14:paraId="07DAB2C6">
            <w:pPr>
              <w:pStyle w:val="8"/>
              <w:spacing w:before="53" w:line="219" w:lineRule="auto"/>
              <w:ind w:left="495"/>
              <w:rPr>
                <w:sz w:val="24"/>
                <w:szCs w:val="24"/>
              </w:rPr>
            </w:pPr>
            <w:r>
              <w:rPr>
                <w:spacing w:val="3"/>
                <w:sz w:val="24"/>
                <w:szCs w:val="24"/>
              </w:rPr>
              <w:t>1、</w:t>
            </w:r>
            <w:r>
              <w:rPr>
                <w:color w:val="304040"/>
                <w:spacing w:val="3"/>
                <w:sz w:val="24"/>
                <w:szCs w:val="24"/>
              </w:rPr>
              <w:t>服务范围：</w:t>
            </w:r>
            <w:r>
              <w:rPr>
                <w:rFonts w:hint="eastAsia"/>
                <w:color w:val="304040"/>
                <w:spacing w:val="3"/>
                <w:sz w:val="24"/>
                <w:szCs w:val="24"/>
                <w:lang w:eastAsia="zh-CN"/>
              </w:rPr>
              <w:t>广东省公共卫生医学中心（广东省传染病医院）</w:t>
            </w:r>
            <w:r>
              <w:rPr>
                <w:color w:val="304040"/>
                <w:spacing w:val="3"/>
                <w:sz w:val="24"/>
                <w:szCs w:val="24"/>
              </w:rPr>
              <w:t>第</w:t>
            </w:r>
            <w:r>
              <w:rPr>
                <w:color w:val="405050"/>
                <w:spacing w:val="3"/>
                <w:sz w:val="24"/>
                <w:szCs w:val="24"/>
              </w:rPr>
              <w:t>四层实验室区域及其对应的顶楼外机；</w:t>
            </w:r>
          </w:p>
          <w:p w14:paraId="0B361CD6">
            <w:pPr>
              <w:pStyle w:val="8"/>
              <w:spacing w:before="64" w:line="218" w:lineRule="auto"/>
              <w:ind w:left="495"/>
              <w:rPr>
                <w:sz w:val="24"/>
                <w:szCs w:val="24"/>
              </w:rPr>
            </w:pPr>
            <w:r>
              <w:rPr>
                <w:color w:val="405050"/>
                <w:spacing w:val="3"/>
                <w:sz w:val="24"/>
                <w:szCs w:val="24"/>
              </w:rPr>
              <w:t>2、服务</w:t>
            </w:r>
            <w:r>
              <w:rPr>
                <w:rFonts w:hint="eastAsia"/>
                <w:color w:val="405050"/>
                <w:spacing w:val="3"/>
                <w:sz w:val="24"/>
                <w:szCs w:val="24"/>
                <w:lang w:val="en-US" w:eastAsia="zh-CN"/>
              </w:rPr>
              <w:t>期限</w:t>
            </w:r>
            <w:r>
              <w:rPr>
                <w:color w:val="405050"/>
                <w:spacing w:val="3"/>
                <w:sz w:val="24"/>
                <w:szCs w:val="24"/>
              </w:rPr>
              <w:t>：</w:t>
            </w:r>
            <w:r>
              <w:rPr>
                <w:spacing w:val="3"/>
                <w:sz w:val="24"/>
                <w:szCs w:val="24"/>
              </w:rPr>
              <w:t>从签订合同起一年，</w:t>
            </w:r>
            <w:r>
              <w:rPr>
                <w:color w:val="405050"/>
                <w:spacing w:val="3"/>
                <w:sz w:val="24"/>
                <w:szCs w:val="24"/>
              </w:rPr>
              <w:t>月度维保与季度维保完成后出具相应的报告；</w:t>
            </w:r>
          </w:p>
          <w:p w14:paraId="494AD0D8">
            <w:pPr>
              <w:pStyle w:val="8"/>
              <w:spacing w:before="53" w:line="219" w:lineRule="auto"/>
              <w:ind w:left="495"/>
              <w:rPr>
                <w:color w:val="304040"/>
                <w:spacing w:val="3"/>
                <w:sz w:val="24"/>
                <w:szCs w:val="24"/>
              </w:rPr>
            </w:pPr>
            <w:r>
              <w:rPr>
                <w:spacing w:val="3"/>
                <w:sz w:val="24"/>
                <w:szCs w:val="24"/>
              </w:rPr>
              <w:t>3、</w:t>
            </w:r>
            <w:r>
              <w:rPr>
                <w:color w:val="304040"/>
                <w:spacing w:val="3"/>
                <w:sz w:val="24"/>
                <w:szCs w:val="24"/>
              </w:rPr>
              <w:t>现场作业期间，甲方需安排工程人员现场配合监督作业，确保安全文明施工；</w:t>
            </w:r>
          </w:p>
          <w:p w14:paraId="061B5389">
            <w:pPr>
              <w:pStyle w:val="8"/>
              <w:spacing w:before="53" w:line="219" w:lineRule="auto"/>
              <w:ind w:left="495"/>
              <w:rPr>
                <w:color w:val="304040"/>
                <w:spacing w:val="3"/>
                <w:sz w:val="24"/>
                <w:szCs w:val="24"/>
              </w:rPr>
            </w:pPr>
            <w:r>
              <w:rPr>
                <w:color w:val="304040"/>
                <w:spacing w:val="3"/>
                <w:sz w:val="24"/>
                <w:szCs w:val="24"/>
              </w:rPr>
              <w:t>4、对于改造、改善性工程或服务，需另行协商并报价；</w:t>
            </w:r>
          </w:p>
          <w:p w14:paraId="5CC6A906">
            <w:pPr>
              <w:pStyle w:val="8"/>
              <w:spacing w:before="53" w:line="219" w:lineRule="auto"/>
              <w:ind w:left="495"/>
              <w:rPr>
                <w:rFonts w:hint="eastAsia"/>
                <w:color w:val="304040"/>
                <w:spacing w:val="3"/>
                <w:sz w:val="24"/>
                <w:szCs w:val="24"/>
                <w:lang w:eastAsia="zh-CN"/>
              </w:rPr>
            </w:pPr>
            <w:r>
              <w:rPr>
                <w:color w:val="304040"/>
                <w:spacing w:val="3"/>
                <w:sz w:val="24"/>
                <w:szCs w:val="24"/>
              </w:rPr>
              <w:t>5、</w:t>
            </w:r>
            <w:r>
              <w:rPr>
                <w:rFonts w:hint="default"/>
                <w:color w:val="304040"/>
                <w:spacing w:val="3"/>
                <w:sz w:val="24"/>
                <w:szCs w:val="24"/>
              </w:rPr>
              <w:t>维保范围内的全部服务内容，除因设备老化、重大自然灾害或甲方使用不当等原因导致的核心部件需单独更换且单件费用超过人民币</w:t>
            </w:r>
            <w:r>
              <w:rPr>
                <w:rFonts w:hint="eastAsia"/>
                <w:color w:val="304040"/>
                <w:spacing w:val="3"/>
                <w:sz w:val="24"/>
                <w:szCs w:val="24"/>
                <w:lang w:val="en-US" w:eastAsia="zh-CN"/>
              </w:rPr>
              <w:t>1500</w:t>
            </w:r>
            <w:r>
              <w:rPr>
                <w:rFonts w:hint="default"/>
                <w:color w:val="304040"/>
                <w:spacing w:val="3"/>
                <w:sz w:val="24"/>
                <w:szCs w:val="24"/>
              </w:rPr>
              <w:t>元外，乙方不得以任何理由向甲方追加其他任何费用。日常维保所需的人工、工具、耗材、交通、常规配件</w:t>
            </w:r>
            <w:r>
              <w:rPr>
                <w:rFonts w:hint="eastAsia"/>
                <w:color w:val="304040"/>
                <w:spacing w:val="3"/>
                <w:sz w:val="24"/>
                <w:szCs w:val="24"/>
                <w:lang w:eastAsia="zh-CN"/>
              </w:rPr>
              <w:t>，如紫外灯灯座、门禁开关、墙面插座等</w:t>
            </w:r>
            <w:r>
              <w:rPr>
                <w:rFonts w:hint="eastAsia"/>
                <w:color w:val="304040"/>
                <w:spacing w:val="3"/>
                <w:sz w:val="24"/>
                <w:szCs w:val="24"/>
                <w:lang w:val="en-US" w:eastAsia="zh-CN"/>
              </w:rPr>
              <w:t>1500元以下的配件</w:t>
            </w:r>
            <w:r>
              <w:rPr>
                <w:rFonts w:hint="default"/>
                <w:color w:val="304040"/>
                <w:spacing w:val="3"/>
                <w:sz w:val="24"/>
                <w:szCs w:val="24"/>
              </w:rPr>
              <w:t>更换等全部成本均已包含在合同总价内，甲方无需再行支付</w:t>
            </w:r>
            <w:r>
              <w:rPr>
                <w:rFonts w:hint="eastAsia"/>
                <w:color w:val="304040"/>
                <w:spacing w:val="3"/>
                <w:sz w:val="24"/>
                <w:szCs w:val="24"/>
                <w:lang w:eastAsia="zh-CN"/>
              </w:rPr>
              <w:t>。</w:t>
            </w:r>
          </w:p>
          <w:p w14:paraId="16D316B7">
            <w:pPr>
              <w:pStyle w:val="8"/>
              <w:spacing w:before="53" w:line="219" w:lineRule="auto"/>
              <w:ind w:left="495"/>
              <w:rPr>
                <w:sz w:val="24"/>
                <w:szCs w:val="24"/>
              </w:rPr>
            </w:pPr>
            <w:r>
              <w:rPr>
                <w:rFonts w:hint="eastAsia"/>
                <w:color w:val="304040"/>
                <w:spacing w:val="3"/>
                <w:sz w:val="24"/>
                <w:szCs w:val="24"/>
                <w:lang w:val="en-US" w:eastAsia="zh-CN"/>
              </w:rPr>
              <w:t>6</w:t>
            </w:r>
            <w:r>
              <w:rPr>
                <w:color w:val="304040"/>
                <w:spacing w:val="3"/>
                <w:sz w:val="24"/>
                <w:szCs w:val="24"/>
              </w:rPr>
              <w:t>、如遇特殊情况需更换大型部件，费用将另行协商报价。</w:t>
            </w:r>
          </w:p>
        </w:tc>
      </w:tr>
    </w:tbl>
    <w:p w14:paraId="04D5738D">
      <w:pPr>
        <w:spacing w:line="240" w:lineRule="auto"/>
        <w:ind w:firstLine="316" w:firstLineChars="100"/>
        <w:jc w:val="right"/>
        <w:rPr>
          <w:b/>
          <w:bCs/>
          <w:color w:val="304040"/>
          <w:spacing w:val="-2"/>
          <w:sz w:val="32"/>
          <w:szCs w:val="32"/>
        </w:rPr>
      </w:pPr>
    </w:p>
    <w:p w14:paraId="42F66C4A">
      <w:pPr>
        <w:spacing w:line="240" w:lineRule="auto"/>
        <w:ind w:firstLine="0" w:firstLineChars="0"/>
        <w:jc w:val="right"/>
        <w:rPr>
          <w:rFonts w:hint="default"/>
          <w:b/>
          <w:bCs/>
          <w:spacing w:val="-2"/>
          <w:sz w:val="32"/>
          <w:szCs w:val="32"/>
          <w:lang w:val="en-US" w:eastAsia="zh-CN"/>
        </w:rPr>
      </w:pPr>
    </w:p>
    <w:sectPr>
      <w:headerReference r:id="rId5" w:type="default"/>
      <w:footerReference r:id="rId6" w:type="default"/>
      <w:pgSz w:w="11910" w:h="16850"/>
      <w:pgMar w:top="400" w:right="247" w:bottom="773" w:left="70" w:header="0" w:footer="571" w:gutter="0"/>
      <w:pgBorders>
        <w:top w:val="none" w:sz="0" w:space="0"/>
        <w:left w:val="none" w:sz="0" w:space="0"/>
        <w:bottom w:val="none" w:sz="0" w:space="0"/>
        <w:right w:val="none" w:sz="0" w:space="0"/>
      </w:pgBorders>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BF7EB">
    <w:pPr>
      <w:spacing w:line="208" w:lineRule="auto"/>
      <w:ind w:left="5349"/>
      <w:rPr>
        <w:rFonts w:ascii="宋体" w:hAnsi="宋体" w:eastAsia="宋体" w:cs="宋体"/>
        <w:sz w:val="17"/>
        <w:szCs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295C9">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A34AE0"/>
    <w:rsid w:val="014C4DA3"/>
    <w:rsid w:val="08A2174C"/>
    <w:rsid w:val="098269A5"/>
    <w:rsid w:val="0ABF2D9A"/>
    <w:rsid w:val="0CEC11E8"/>
    <w:rsid w:val="171036E9"/>
    <w:rsid w:val="174F0CF1"/>
    <w:rsid w:val="189A41EE"/>
    <w:rsid w:val="1E4946EC"/>
    <w:rsid w:val="2604714B"/>
    <w:rsid w:val="27545EB0"/>
    <w:rsid w:val="2CA86954"/>
    <w:rsid w:val="2F815D3C"/>
    <w:rsid w:val="33E34843"/>
    <w:rsid w:val="33F97BC3"/>
    <w:rsid w:val="43952E7B"/>
    <w:rsid w:val="43DD12AF"/>
    <w:rsid w:val="48D430BE"/>
    <w:rsid w:val="4C4B0D80"/>
    <w:rsid w:val="4FBB03E3"/>
    <w:rsid w:val="51F53C68"/>
    <w:rsid w:val="528D1442"/>
    <w:rsid w:val="5421641B"/>
    <w:rsid w:val="5D6E48CE"/>
    <w:rsid w:val="5EFC6636"/>
    <w:rsid w:val="62B55D90"/>
    <w:rsid w:val="635554F9"/>
    <w:rsid w:val="641F7263"/>
    <w:rsid w:val="64642F8C"/>
    <w:rsid w:val="69783D56"/>
    <w:rsid w:val="6B482C03"/>
    <w:rsid w:val="6E665DB8"/>
    <w:rsid w:val="6EEB55F7"/>
    <w:rsid w:val="720C6738"/>
    <w:rsid w:val="72352055"/>
    <w:rsid w:val="729B6B8D"/>
    <w:rsid w:val="72FC67AC"/>
    <w:rsid w:val="7528708E"/>
    <w:rsid w:val="76AF1AA2"/>
    <w:rsid w:val="78AA6CAB"/>
    <w:rsid w:val="7B093938"/>
    <w:rsid w:val="7BC06042"/>
    <w:rsid w:val="7BF32951"/>
    <w:rsid w:val="7CF229CE"/>
    <w:rsid w:val="7E2E5C8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5"/>
      <w:szCs w:val="25"/>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761</Words>
  <Characters>773</Characters>
  <TotalTime>24</TotalTime>
  <ScaleCrop>false</ScaleCrop>
  <LinksUpToDate>false</LinksUpToDate>
  <CharactersWithSpaces>818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2026-06-10T15:41:00Z</dcterms:created>
  <dc:creator>admin</dc:creator>
  <cp:lastModifiedBy>cc</cp:lastModifiedBy>
  <dcterms:modified xsi:type="dcterms:W3CDTF">2026-09-18T07:33:45Z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2026-06-10T15:41:25Z</vt:filetime>
  </property>
  <property fmtid="{D5CDD505-2E9C-101B-9397-08002B2CF9AE}" pid="4" name="UsrData">
    <vt:lpwstr>6a29151e79f359002053e592wl</vt:lpwstr>
  </property>
  <property fmtid="{D5CDD505-2E9C-101B-9397-08002B2CF9AE}" pid="5" name="KSOTemplateDocerSaveRecord">
    <vt:lpwstr>eyJoZGlkIjoiZjMyZTNhNTFmZWNlMTJjN2QzOGMzZTg4NThhYzUwODciLCJ1c2VySWQiOiI3MDc3OTgxMzEifQ==</vt:lpwstr>
  </property>
  <property fmtid="{D5CDD505-2E9C-101B-9397-08002B2CF9AE}" pid="6" name="KSOProductBuildVer">
    <vt:lpwstr>2052-12.1.0.28505</vt:lpwstr>
  </property>
  <property fmtid="{D5CDD505-2E9C-101B-9397-08002B2CF9AE}" pid="7" name="ICV">
    <vt:lpwstr>8719CE25998647D887A786865B8081B3_13</vt:lpwstr>
  </property>
</Properties>
</file>